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  <w:gridCol w:w="2046"/>
      </w:tblGrid>
      <w:tr w:rsidR="00D4735C" w:rsidTr="003057D4">
        <w:tc>
          <w:tcPr>
            <w:tcW w:w="5315" w:type="dxa"/>
          </w:tcPr>
          <w:p w:rsidR="00D4735C" w:rsidRDefault="00D4735C" w:rsidP="003057D4">
            <w:pPr>
              <w:pStyle w:val="Ledetekst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735C" w:rsidRDefault="00D4735C" w:rsidP="003057D4">
            <w:pPr>
              <w:pStyle w:val="Lede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</w:p>
          <w:p w:rsidR="00507578" w:rsidRDefault="00507578" w:rsidP="003057D4">
            <w:pPr>
              <w:pStyle w:val="Lede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F15C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.11.2015</w:t>
            </w:r>
          </w:p>
        </w:tc>
        <w:tc>
          <w:tcPr>
            <w:tcW w:w="2046" w:type="dxa"/>
          </w:tcPr>
          <w:p w:rsidR="00D4735C" w:rsidRDefault="00D4735C" w:rsidP="00D4735C">
            <w:pPr>
              <w:pStyle w:val="Lede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Referanse</w:t>
            </w:r>
          </w:p>
          <w:p w:rsidR="00507578" w:rsidRDefault="00507578" w:rsidP="00D4735C">
            <w:pPr>
              <w:pStyle w:val="Lede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DFØ/Forvaltnings- og analyseavdelingen</w:t>
            </w:r>
          </w:p>
        </w:tc>
      </w:tr>
    </w:tbl>
    <w:p w:rsidR="00D4735C" w:rsidRDefault="00D46312" w:rsidP="00D473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35C" w:rsidRDefault="00D4735C" w:rsidP="00D4735C"/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4735C" w:rsidTr="004748B6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BD50D5" w:rsidRDefault="00BD50D5" w:rsidP="00D71AAE">
            <w:pPr>
              <w:pStyle w:val="Tittel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8330BD">
              <w:rPr>
                <w:rFonts w:ascii="Times New Roman" w:hAnsi="Times New Roman"/>
              </w:rPr>
              <w:t xml:space="preserve">estemmelsene </w:t>
            </w:r>
            <w:r w:rsidR="00D71AAE">
              <w:rPr>
                <w:rFonts w:ascii="Times New Roman" w:hAnsi="Times New Roman"/>
              </w:rPr>
              <w:t xml:space="preserve">kap. 4 </w:t>
            </w:r>
            <w:r>
              <w:rPr>
                <w:rFonts w:ascii="Times New Roman" w:hAnsi="Times New Roman"/>
              </w:rPr>
              <w:t xml:space="preserve">om bokføring </w:t>
            </w:r>
            <w:r w:rsidR="00D46312">
              <w:rPr>
                <w:rFonts w:ascii="Times New Roman" w:hAnsi="Times New Roman"/>
              </w:rPr>
              <w:t>mv. – omtale av endringe</w:t>
            </w:r>
            <w:r w:rsidR="00446A2C">
              <w:rPr>
                <w:rFonts w:ascii="Times New Roman" w:hAnsi="Times New Roman"/>
              </w:rPr>
              <w:t>r</w:t>
            </w:r>
            <w:r w:rsidR="00D46312">
              <w:rPr>
                <w:rFonts w:ascii="Times New Roman" w:hAnsi="Times New Roman"/>
              </w:rPr>
              <w:t xml:space="preserve"> fastsatt av Finansdepartementet </w:t>
            </w:r>
            <w:r w:rsidR="00507578">
              <w:rPr>
                <w:rFonts w:ascii="Times New Roman" w:hAnsi="Times New Roman"/>
              </w:rPr>
              <w:t>5</w:t>
            </w:r>
            <w:r w:rsidR="00D46312">
              <w:rPr>
                <w:rFonts w:ascii="Times New Roman" w:hAnsi="Times New Roman"/>
              </w:rPr>
              <w:t>. november 2015</w:t>
            </w:r>
          </w:p>
          <w:p w:rsidR="00D4735C" w:rsidRDefault="00D4735C" w:rsidP="00D71AAE">
            <w:pPr>
              <w:pStyle w:val="Tittel"/>
              <w:ind w:left="0"/>
              <w:rPr>
                <w:rFonts w:ascii="Times New Roman" w:hAnsi="Times New Roman"/>
              </w:rPr>
            </w:pPr>
          </w:p>
        </w:tc>
      </w:tr>
    </w:tbl>
    <w:p w:rsidR="00BF5E98" w:rsidRPr="00B861A4" w:rsidRDefault="00E408BF" w:rsidP="00B861A4">
      <w:pPr>
        <w:rPr>
          <w:szCs w:val="24"/>
        </w:rPr>
      </w:pPr>
      <w:r w:rsidRPr="00B861A4">
        <w:rPr>
          <w:szCs w:val="24"/>
        </w:rPr>
        <w:t>I d</w:t>
      </w:r>
      <w:r w:rsidR="004748B6" w:rsidRPr="00B861A4">
        <w:rPr>
          <w:szCs w:val="24"/>
        </w:rPr>
        <w:t xml:space="preserve">ette notatet </w:t>
      </w:r>
      <w:r w:rsidR="00531402">
        <w:rPr>
          <w:szCs w:val="24"/>
        </w:rPr>
        <w:t xml:space="preserve">omtales </w:t>
      </w:r>
      <w:r w:rsidR="004748B6" w:rsidRPr="00B861A4">
        <w:rPr>
          <w:szCs w:val="24"/>
        </w:rPr>
        <w:t>endringe</w:t>
      </w:r>
      <w:r w:rsidR="00C345E1">
        <w:rPr>
          <w:szCs w:val="24"/>
        </w:rPr>
        <w:t>ne</w:t>
      </w:r>
      <w:r w:rsidR="004748B6" w:rsidRPr="00B861A4">
        <w:rPr>
          <w:szCs w:val="24"/>
        </w:rPr>
        <w:t xml:space="preserve"> i </w:t>
      </w:r>
      <w:r w:rsidR="00EC45DD" w:rsidRPr="00B861A4">
        <w:rPr>
          <w:szCs w:val="24"/>
        </w:rPr>
        <w:t xml:space="preserve">kap. 4 i </w:t>
      </w:r>
      <w:r w:rsidR="00695611" w:rsidRPr="00B861A4">
        <w:rPr>
          <w:szCs w:val="24"/>
        </w:rPr>
        <w:t>bestemme</w:t>
      </w:r>
      <w:r w:rsidR="005C4285" w:rsidRPr="00B861A4">
        <w:rPr>
          <w:szCs w:val="24"/>
        </w:rPr>
        <w:t>lser om økonomistyring i staten</w:t>
      </w:r>
      <w:r w:rsidR="00531402">
        <w:rPr>
          <w:szCs w:val="24"/>
        </w:rPr>
        <w:t xml:space="preserve"> («bestemmelsene»), som ble fastsatt av Finansdepartementet 5.11.2015</w:t>
      </w:r>
      <w:r w:rsidR="00BF5E98" w:rsidRPr="00B861A4">
        <w:rPr>
          <w:szCs w:val="24"/>
        </w:rPr>
        <w:t xml:space="preserve">. De fleste </w:t>
      </w:r>
      <w:r w:rsidR="00C345E1" w:rsidRPr="00B861A4">
        <w:rPr>
          <w:szCs w:val="24"/>
        </w:rPr>
        <w:t>endring</w:t>
      </w:r>
      <w:r w:rsidR="00C345E1">
        <w:rPr>
          <w:szCs w:val="24"/>
        </w:rPr>
        <w:t>ene</w:t>
      </w:r>
      <w:r w:rsidR="00C345E1" w:rsidRPr="00B861A4">
        <w:rPr>
          <w:szCs w:val="24"/>
        </w:rPr>
        <w:t xml:space="preserve"> </w:t>
      </w:r>
      <w:r w:rsidR="00BF5E98" w:rsidRPr="00B861A4">
        <w:rPr>
          <w:szCs w:val="24"/>
        </w:rPr>
        <w:t xml:space="preserve">har bakgrunn i endringer </w:t>
      </w:r>
      <w:r w:rsidR="00EC45DD" w:rsidRPr="00B861A4">
        <w:rPr>
          <w:szCs w:val="24"/>
        </w:rPr>
        <w:t xml:space="preserve">i </w:t>
      </w:r>
      <w:r w:rsidR="00BF5E98" w:rsidRPr="00B861A4">
        <w:rPr>
          <w:szCs w:val="24"/>
        </w:rPr>
        <w:t xml:space="preserve">bokføringsloven og </w:t>
      </w:r>
      <w:r w:rsidR="00453381" w:rsidRPr="00B861A4">
        <w:rPr>
          <w:szCs w:val="24"/>
        </w:rPr>
        <w:t>bokføringsforskriften</w:t>
      </w:r>
      <w:r w:rsidR="00EC45DD" w:rsidRPr="00B861A4">
        <w:rPr>
          <w:szCs w:val="24"/>
        </w:rPr>
        <w:t xml:space="preserve"> etter forrige gjennomgang </w:t>
      </w:r>
      <w:r w:rsidR="00A0006B">
        <w:rPr>
          <w:szCs w:val="24"/>
        </w:rPr>
        <w:t xml:space="preserve">som DFØ gjorde </w:t>
      </w:r>
      <w:r w:rsidR="00EC45DD" w:rsidRPr="00B861A4">
        <w:rPr>
          <w:szCs w:val="24"/>
        </w:rPr>
        <w:t xml:space="preserve">i 2013. </w:t>
      </w:r>
      <w:r w:rsidR="00BF5E98" w:rsidRPr="00B861A4">
        <w:rPr>
          <w:szCs w:val="24"/>
        </w:rPr>
        <w:t xml:space="preserve">I tillegg </w:t>
      </w:r>
      <w:r w:rsidR="00C345E1">
        <w:rPr>
          <w:szCs w:val="24"/>
        </w:rPr>
        <w:t>er</w:t>
      </w:r>
      <w:r w:rsidR="00C345E1" w:rsidRPr="00B861A4">
        <w:rPr>
          <w:szCs w:val="24"/>
        </w:rPr>
        <w:t xml:space="preserve"> </w:t>
      </w:r>
      <w:r w:rsidR="00A0006B">
        <w:rPr>
          <w:szCs w:val="24"/>
        </w:rPr>
        <w:t xml:space="preserve">det </w:t>
      </w:r>
      <w:r w:rsidR="00BF5E98" w:rsidRPr="00B861A4">
        <w:rPr>
          <w:szCs w:val="24"/>
        </w:rPr>
        <w:t xml:space="preserve">enkelte endringer på bakgrunn av innføringen av nettoføringsordningen for </w:t>
      </w:r>
      <w:r w:rsidR="00531402">
        <w:rPr>
          <w:szCs w:val="24"/>
        </w:rPr>
        <w:t xml:space="preserve">budsjettering og regnskapsføring av </w:t>
      </w:r>
      <w:r w:rsidR="00BF5E98" w:rsidRPr="00B861A4">
        <w:rPr>
          <w:szCs w:val="24"/>
        </w:rPr>
        <w:t xml:space="preserve">merverdiavgift i staten fra 1.1.2015. </w:t>
      </w:r>
    </w:p>
    <w:p w:rsidR="00B861A4" w:rsidRDefault="00B861A4" w:rsidP="00B861A4">
      <w:pPr>
        <w:rPr>
          <w:szCs w:val="24"/>
        </w:rPr>
      </w:pPr>
    </w:p>
    <w:p w:rsidR="0029763F" w:rsidRDefault="00EC45DD" w:rsidP="00B861A4">
      <w:pPr>
        <w:rPr>
          <w:szCs w:val="24"/>
        </w:rPr>
      </w:pPr>
      <w:r w:rsidRPr="00B861A4">
        <w:rPr>
          <w:szCs w:val="24"/>
        </w:rPr>
        <w:t>Gjennomgangen dekker endringer i bo</w:t>
      </w:r>
      <w:r w:rsidR="008F3020" w:rsidRPr="00B861A4">
        <w:rPr>
          <w:szCs w:val="24"/>
        </w:rPr>
        <w:t>k</w:t>
      </w:r>
      <w:r w:rsidRPr="00B861A4">
        <w:rPr>
          <w:szCs w:val="24"/>
        </w:rPr>
        <w:t>førings</w:t>
      </w:r>
      <w:r w:rsidR="00BF5E98" w:rsidRPr="00B861A4">
        <w:rPr>
          <w:szCs w:val="24"/>
        </w:rPr>
        <w:t xml:space="preserve">loven med forskrift </w:t>
      </w:r>
      <w:r w:rsidRPr="00B861A4">
        <w:rPr>
          <w:szCs w:val="24"/>
        </w:rPr>
        <w:t>som er trådt i kraft</w:t>
      </w:r>
      <w:r w:rsidR="00331404">
        <w:rPr>
          <w:szCs w:val="24"/>
        </w:rPr>
        <w:t xml:space="preserve"> i perioden fram til 1.1.2015. </w:t>
      </w:r>
      <w:r w:rsidR="00C345E1">
        <w:rPr>
          <w:szCs w:val="24"/>
        </w:rPr>
        <w:t>E</w:t>
      </w:r>
      <w:r w:rsidR="00372F7C" w:rsidRPr="00B861A4">
        <w:rPr>
          <w:szCs w:val="24"/>
        </w:rPr>
        <w:t xml:space="preserve">n systematisk oversikt over endringene i bokføringsloven </w:t>
      </w:r>
      <w:r w:rsidR="00AD7C81">
        <w:rPr>
          <w:szCs w:val="24"/>
        </w:rPr>
        <w:t xml:space="preserve">og bokføringsforskriften </w:t>
      </w:r>
      <w:r w:rsidR="00372F7C" w:rsidRPr="00B861A4">
        <w:rPr>
          <w:szCs w:val="24"/>
        </w:rPr>
        <w:t xml:space="preserve">fra 2013 til 2015, </w:t>
      </w:r>
      <w:r w:rsidR="00DB4DB7" w:rsidRPr="00B861A4">
        <w:rPr>
          <w:szCs w:val="24"/>
        </w:rPr>
        <w:t xml:space="preserve">presentert </w:t>
      </w:r>
      <w:r w:rsidR="008F3020" w:rsidRPr="00B861A4">
        <w:rPr>
          <w:szCs w:val="24"/>
        </w:rPr>
        <w:t>etter strukturen i bestemmelsene</w:t>
      </w:r>
      <w:r w:rsidR="00DB4DB7" w:rsidRPr="00B861A4">
        <w:rPr>
          <w:szCs w:val="24"/>
        </w:rPr>
        <w:t xml:space="preserve"> kap. 4</w:t>
      </w:r>
      <w:r w:rsidR="00AD7C81">
        <w:rPr>
          <w:szCs w:val="24"/>
        </w:rPr>
        <w:t xml:space="preserve"> (punkt 4.1–4.4)</w:t>
      </w:r>
      <w:r w:rsidR="00331404">
        <w:rPr>
          <w:szCs w:val="24"/>
        </w:rPr>
        <w:t>,</w:t>
      </w:r>
      <w:r w:rsidR="00C345E1">
        <w:rPr>
          <w:szCs w:val="24"/>
        </w:rPr>
        <w:t xml:space="preserve"> er tilgjengelig i notatet </w:t>
      </w:r>
      <w:r w:rsidR="006C619A" w:rsidRPr="006C619A">
        <w:rPr>
          <w:szCs w:val="24"/>
        </w:rPr>
        <w:t>Regelverksspeil bestemmelsene kapittel 4 sammenholdt me</w:t>
      </w:r>
      <w:r w:rsidR="006C619A">
        <w:rPr>
          <w:szCs w:val="24"/>
        </w:rPr>
        <w:t>d bokføringsloven med forskrift</w:t>
      </w:r>
      <w:r w:rsidR="00372F7C" w:rsidRPr="00B861A4">
        <w:rPr>
          <w:szCs w:val="24"/>
        </w:rPr>
        <w:t xml:space="preserve">. </w:t>
      </w:r>
    </w:p>
    <w:p w:rsidR="00531402" w:rsidRPr="00C5501F" w:rsidRDefault="00531402" w:rsidP="00B861A4">
      <w:pPr>
        <w:rPr>
          <w:szCs w:val="24"/>
        </w:rPr>
      </w:pPr>
    </w:p>
    <w:p w:rsidR="00C92A95" w:rsidRPr="00081E9C" w:rsidRDefault="00081E9C" w:rsidP="00081E9C">
      <w:pPr>
        <w:pStyle w:val="Listeavsnitt"/>
        <w:numPr>
          <w:ilvl w:val="0"/>
          <w:numId w:val="2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81E9C">
        <w:rPr>
          <w:rFonts w:ascii="Times New Roman" w:hAnsi="Times New Roman" w:cs="Times New Roman"/>
          <w:b/>
          <w:sz w:val="24"/>
          <w:szCs w:val="24"/>
        </w:rPr>
        <w:t>Endringer i k</w:t>
      </w:r>
      <w:r w:rsidR="006B6848" w:rsidRPr="00081E9C">
        <w:rPr>
          <w:rFonts w:ascii="Times New Roman" w:hAnsi="Times New Roman" w:cs="Times New Roman"/>
          <w:b/>
          <w:sz w:val="24"/>
          <w:szCs w:val="24"/>
        </w:rPr>
        <w:t xml:space="preserve">rav til </w:t>
      </w:r>
      <w:r w:rsidR="00DB4DB7" w:rsidRPr="00081E9C">
        <w:rPr>
          <w:rFonts w:ascii="Times New Roman" w:hAnsi="Times New Roman" w:cs="Times New Roman"/>
          <w:b/>
          <w:sz w:val="24"/>
          <w:szCs w:val="24"/>
        </w:rPr>
        <w:t xml:space="preserve">kontospesifikasjon </w:t>
      </w:r>
      <w:r w:rsidR="005F1B08" w:rsidRPr="00081E9C">
        <w:rPr>
          <w:rFonts w:ascii="Times New Roman" w:hAnsi="Times New Roman" w:cs="Times New Roman"/>
          <w:b/>
          <w:sz w:val="24"/>
          <w:szCs w:val="24"/>
        </w:rPr>
        <w:t>(</w:t>
      </w:r>
      <w:r w:rsidR="00DB4DB7" w:rsidRPr="00081E9C">
        <w:rPr>
          <w:rFonts w:ascii="Times New Roman" w:hAnsi="Times New Roman" w:cs="Times New Roman"/>
          <w:b/>
          <w:sz w:val="24"/>
          <w:szCs w:val="24"/>
        </w:rPr>
        <w:t xml:space="preserve">bestemmelsene </w:t>
      </w:r>
      <w:r w:rsidR="005F1B08" w:rsidRPr="00081E9C">
        <w:rPr>
          <w:rFonts w:ascii="Times New Roman" w:hAnsi="Times New Roman" w:cs="Times New Roman"/>
          <w:b/>
          <w:sz w:val="24"/>
          <w:szCs w:val="24"/>
        </w:rPr>
        <w:t>pkt. 4.4.3</w:t>
      </w:r>
      <w:r w:rsidR="00DB4DB7" w:rsidRPr="00081E9C">
        <w:rPr>
          <w:rFonts w:ascii="Times New Roman" w:hAnsi="Times New Roman" w:cs="Times New Roman"/>
          <w:b/>
          <w:sz w:val="24"/>
          <w:szCs w:val="24"/>
        </w:rPr>
        <w:t xml:space="preserve"> bokstav b</w:t>
      </w:r>
      <w:r w:rsidR="00C345E1">
        <w:rPr>
          <w:rFonts w:ascii="Times New Roman" w:hAnsi="Times New Roman" w:cs="Times New Roman"/>
          <w:b/>
          <w:sz w:val="24"/>
          <w:szCs w:val="24"/>
        </w:rPr>
        <w:t>)</w:t>
      </w:r>
    </w:p>
    <w:p w:rsidR="00EC45DD" w:rsidRDefault="0029763F" w:rsidP="00B861A4">
      <w:pPr>
        <w:rPr>
          <w:szCs w:val="24"/>
        </w:rPr>
      </w:pPr>
      <w:r>
        <w:rPr>
          <w:szCs w:val="24"/>
        </w:rPr>
        <w:t xml:space="preserve">I bokføringsforskriften (BF) § 3-1 første ledd </w:t>
      </w:r>
      <w:r w:rsidR="00994A91">
        <w:rPr>
          <w:szCs w:val="24"/>
        </w:rPr>
        <w:t xml:space="preserve">punkt 2 er det med virkning fra 1.1.2015 </w:t>
      </w:r>
      <w:r>
        <w:rPr>
          <w:szCs w:val="24"/>
        </w:rPr>
        <w:t>tatt inn et tillegg om at «</w:t>
      </w:r>
      <w:r w:rsidR="00994A91">
        <w:rPr>
          <w:szCs w:val="24"/>
        </w:rPr>
        <w:t>inngående og utgående merverdiavgift skal kunne spesifiseres pr. transaksjon</w:t>
      </w:r>
      <w:r>
        <w:rPr>
          <w:szCs w:val="24"/>
        </w:rPr>
        <w:t xml:space="preserve">». </w:t>
      </w:r>
      <w:r w:rsidR="00994A91">
        <w:rPr>
          <w:szCs w:val="24"/>
        </w:rPr>
        <w:t xml:space="preserve">Bakgrunnen for endringen er omtalt i </w:t>
      </w:r>
      <w:r w:rsidR="00994A91" w:rsidRPr="00DB4DB7">
        <w:rPr>
          <w:szCs w:val="24"/>
        </w:rPr>
        <w:t xml:space="preserve">delrapport  III (side 10) </w:t>
      </w:r>
      <w:r w:rsidR="00994A91">
        <w:rPr>
          <w:szCs w:val="24"/>
        </w:rPr>
        <w:t xml:space="preserve">fra </w:t>
      </w:r>
      <w:r w:rsidR="00282DA1" w:rsidRPr="00DB4DB7">
        <w:rPr>
          <w:szCs w:val="24"/>
        </w:rPr>
        <w:t>Bokføringsstandar</w:t>
      </w:r>
      <w:r w:rsidR="00282DA1">
        <w:rPr>
          <w:szCs w:val="24"/>
        </w:rPr>
        <w:t>d</w:t>
      </w:r>
      <w:r w:rsidR="00282DA1" w:rsidRPr="00DB4DB7">
        <w:rPr>
          <w:szCs w:val="24"/>
        </w:rPr>
        <w:t>styret</w:t>
      </w:r>
      <w:r w:rsidR="005801A7">
        <w:rPr>
          <w:szCs w:val="24"/>
        </w:rPr>
        <w:t xml:space="preserve">, der det fremgår at endringen ikke innebærer </w:t>
      </w:r>
      <w:r w:rsidR="005801A7" w:rsidRPr="00DB4DB7">
        <w:rPr>
          <w:szCs w:val="24"/>
        </w:rPr>
        <w:t xml:space="preserve">realitetsendring i regelverket, men </w:t>
      </w:r>
      <w:r w:rsidR="005801A7">
        <w:rPr>
          <w:szCs w:val="24"/>
        </w:rPr>
        <w:t xml:space="preserve">at hensikten er at </w:t>
      </w:r>
      <w:r w:rsidR="005801A7" w:rsidRPr="00DB4DB7">
        <w:rPr>
          <w:szCs w:val="24"/>
        </w:rPr>
        <w:t xml:space="preserve">kravet </w:t>
      </w:r>
      <w:r w:rsidR="005801A7">
        <w:rPr>
          <w:szCs w:val="24"/>
        </w:rPr>
        <w:t xml:space="preserve">skal fremkomme </w:t>
      </w:r>
      <w:r w:rsidR="005801A7" w:rsidRPr="00DB4DB7">
        <w:rPr>
          <w:szCs w:val="24"/>
        </w:rPr>
        <w:t>mer tydelig og forståelig.</w:t>
      </w:r>
      <w:r w:rsidR="005801A7">
        <w:rPr>
          <w:szCs w:val="24"/>
        </w:rPr>
        <w:t xml:space="preserve"> </w:t>
      </w:r>
    </w:p>
    <w:p w:rsidR="00B861A4" w:rsidRDefault="00B861A4" w:rsidP="00B861A4">
      <w:pPr>
        <w:rPr>
          <w:szCs w:val="24"/>
        </w:rPr>
      </w:pPr>
    </w:p>
    <w:p w:rsidR="007007C5" w:rsidRDefault="005801A7" w:rsidP="00B861A4">
      <w:pPr>
        <w:rPr>
          <w:szCs w:val="24"/>
        </w:rPr>
      </w:pPr>
      <w:r w:rsidRPr="005801A7">
        <w:rPr>
          <w:szCs w:val="24"/>
        </w:rPr>
        <w:t xml:space="preserve">I utgangspunktet vil kravet </w:t>
      </w:r>
      <w:r>
        <w:rPr>
          <w:szCs w:val="24"/>
        </w:rPr>
        <w:t xml:space="preserve">i bokføringsforskriften </w:t>
      </w:r>
      <w:r w:rsidRPr="005801A7">
        <w:rPr>
          <w:szCs w:val="24"/>
        </w:rPr>
        <w:t>gjelde for statlige virksomheter som er registrer</w:t>
      </w:r>
      <w:r>
        <w:rPr>
          <w:szCs w:val="24"/>
        </w:rPr>
        <w:t xml:space="preserve">t i </w:t>
      </w:r>
      <w:r w:rsidR="00453381">
        <w:rPr>
          <w:szCs w:val="24"/>
        </w:rPr>
        <w:t>merverdiavgiftsregisteret</w:t>
      </w:r>
      <w:r>
        <w:rPr>
          <w:szCs w:val="24"/>
        </w:rPr>
        <w:t xml:space="preserve">. </w:t>
      </w:r>
      <w:r w:rsidRPr="005801A7">
        <w:rPr>
          <w:szCs w:val="24"/>
        </w:rPr>
        <w:t>I standard kontoplan for statlige virksomheter vil transaksjonene normalt spesifiseres på konto 160 eller konto 270 for utgående merverdiavgift og konto</w:t>
      </w:r>
      <w:r w:rsidR="00221766">
        <w:rPr>
          <w:szCs w:val="24"/>
        </w:rPr>
        <w:t xml:space="preserve"> </w:t>
      </w:r>
      <w:r w:rsidRPr="005801A7">
        <w:rPr>
          <w:szCs w:val="24"/>
        </w:rPr>
        <w:t>161 eller konto 271</w:t>
      </w:r>
      <w:r>
        <w:rPr>
          <w:szCs w:val="24"/>
        </w:rPr>
        <w:t xml:space="preserve"> for inngående merverdiavgift. </w:t>
      </w:r>
      <w:r w:rsidRPr="005801A7">
        <w:rPr>
          <w:szCs w:val="24"/>
        </w:rPr>
        <w:t>Selv om endringen i bokføringsforskriften ikke gjelder for nettoføringsordning</w:t>
      </w:r>
      <w:r>
        <w:rPr>
          <w:szCs w:val="24"/>
        </w:rPr>
        <w:t>en</w:t>
      </w:r>
      <w:r w:rsidRPr="005801A7">
        <w:rPr>
          <w:szCs w:val="24"/>
        </w:rPr>
        <w:t xml:space="preserve">, som </w:t>
      </w:r>
      <w:r>
        <w:rPr>
          <w:szCs w:val="24"/>
        </w:rPr>
        <w:t xml:space="preserve">en </w:t>
      </w:r>
      <w:r w:rsidRPr="005801A7">
        <w:rPr>
          <w:szCs w:val="24"/>
        </w:rPr>
        <w:t xml:space="preserve">administrativ ordning for staten, </w:t>
      </w:r>
      <w:r w:rsidR="00565A6D">
        <w:rPr>
          <w:szCs w:val="24"/>
        </w:rPr>
        <w:t xml:space="preserve">følger det av </w:t>
      </w:r>
      <w:r w:rsidR="00331404">
        <w:rPr>
          <w:szCs w:val="24"/>
        </w:rPr>
        <w:t xml:space="preserve">Finansdepartementets </w:t>
      </w:r>
      <w:r w:rsidR="00565A6D">
        <w:rPr>
          <w:szCs w:val="24"/>
        </w:rPr>
        <w:t xml:space="preserve">rundskriv R-116 </w:t>
      </w:r>
      <w:r w:rsidR="00331404">
        <w:rPr>
          <w:szCs w:val="24"/>
        </w:rPr>
        <w:t xml:space="preserve">om nettoføringsordningen </w:t>
      </w:r>
      <w:r w:rsidR="00565A6D">
        <w:rPr>
          <w:szCs w:val="24"/>
        </w:rPr>
        <w:t xml:space="preserve">at </w:t>
      </w:r>
      <w:r w:rsidRPr="005801A7">
        <w:rPr>
          <w:szCs w:val="24"/>
        </w:rPr>
        <w:t xml:space="preserve">statlige virksomheter </w:t>
      </w:r>
      <w:r w:rsidR="00A54109">
        <w:rPr>
          <w:szCs w:val="24"/>
        </w:rPr>
        <w:t xml:space="preserve">skal </w:t>
      </w:r>
      <w:r w:rsidRPr="005801A7">
        <w:rPr>
          <w:szCs w:val="24"/>
        </w:rPr>
        <w:t xml:space="preserve">ha samme informasjon om bokført merverdiavgift på transaksjonsnivå på konto 1987. </w:t>
      </w:r>
    </w:p>
    <w:p w:rsidR="00B861A4" w:rsidRDefault="00B861A4" w:rsidP="00B861A4">
      <w:pPr>
        <w:rPr>
          <w:szCs w:val="24"/>
        </w:rPr>
      </w:pPr>
    </w:p>
    <w:p w:rsidR="00DB45FA" w:rsidRDefault="005801A7" w:rsidP="00B861A4">
      <w:pPr>
        <w:rPr>
          <w:szCs w:val="24"/>
        </w:rPr>
      </w:pPr>
      <w:r w:rsidRPr="005801A7">
        <w:rPr>
          <w:szCs w:val="24"/>
        </w:rPr>
        <w:t>Kontospesifikasjon</w:t>
      </w:r>
      <w:r w:rsidR="00A54109">
        <w:rPr>
          <w:szCs w:val="24"/>
        </w:rPr>
        <w:t>en</w:t>
      </w:r>
      <w:r w:rsidRPr="005801A7">
        <w:rPr>
          <w:szCs w:val="24"/>
        </w:rPr>
        <w:t xml:space="preserve"> viser alle bokførte opplysninger systematisert etter konto (kode). </w:t>
      </w:r>
      <w:r>
        <w:rPr>
          <w:szCs w:val="24"/>
        </w:rPr>
        <w:t xml:space="preserve">Dette innebærer at </w:t>
      </w:r>
      <w:r w:rsidR="00000107">
        <w:rPr>
          <w:szCs w:val="24"/>
        </w:rPr>
        <w:t xml:space="preserve">endringen </w:t>
      </w:r>
      <w:r w:rsidR="00221766">
        <w:rPr>
          <w:szCs w:val="24"/>
        </w:rPr>
        <w:t xml:space="preserve">bare </w:t>
      </w:r>
      <w:r w:rsidR="00000107">
        <w:rPr>
          <w:szCs w:val="24"/>
        </w:rPr>
        <w:t xml:space="preserve">er en </w:t>
      </w:r>
      <w:r w:rsidR="00453381">
        <w:rPr>
          <w:szCs w:val="24"/>
        </w:rPr>
        <w:t>presisering</w:t>
      </w:r>
      <w:r w:rsidR="00000107">
        <w:rPr>
          <w:szCs w:val="24"/>
        </w:rPr>
        <w:t xml:space="preserve"> av det som allerede </w:t>
      </w:r>
      <w:r w:rsidR="00331404">
        <w:rPr>
          <w:szCs w:val="24"/>
        </w:rPr>
        <w:t xml:space="preserve">var </w:t>
      </w:r>
      <w:r w:rsidR="00000107">
        <w:rPr>
          <w:szCs w:val="24"/>
        </w:rPr>
        <w:t>gjelden</w:t>
      </w:r>
      <w:r w:rsidR="00946F72">
        <w:rPr>
          <w:szCs w:val="24"/>
        </w:rPr>
        <w:t>d</w:t>
      </w:r>
      <w:r w:rsidR="00000107">
        <w:rPr>
          <w:szCs w:val="24"/>
        </w:rPr>
        <w:t>e regelverk</w:t>
      </w:r>
      <w:r w:rsidR="00721929">
        <w:rPr>
          <w:szCs w:val="24"/>
        </w:rPr>
        <w:t xml:space="preserve">, og </w:t>
      </w:r>
      <w:r w:rsidR="00331404">
        <w:rPr>
          <w:szCs w:val="24"/>
        </w:rPr>
        <w:t xml:space="preserve">den er </w:t>
      </w:r>
      <w:r w:rsidR="00C345E1">
        <w:rPr>
          <w:szCs w:val="24"/>
        </w:rPr>
        <w:t>ta</w:t>
      </w:r>
      <w:r w:rsidR="00331404">
        <w:rPr>
          <w:szCs w:val="24"/>
        </w:rPr>
        <w:t>tt</w:t>
      </w:r>
      <w:r w:rsidR="00946F72">
        <w:rPr>
          <w:szCs w:val="24"/>
        </w:rPr>
        <w:t xml:space="preserve"> </w:t>
      </w:r>
      <w:r w:rsidR="00721929">
        <w:rPr>
          <w:szCs w:val="24"/>
        </w:rPr>
        <w:t xml:space="preserve">inn i bestemmelsene under pkt. 4.4.3 b. Det </w:t>
      </w:r>
      <w:r w:rsidR="00221766">
        <w:rPr>
          <w:szCs w:val="24"/>
        </w:rPr>
        <w:t xml:space="preserve">et </w:t>
      </w:r>
      <w:r w:rsidR="00C345E1">
        <w:rPr>
          <w:szCs w:val="24"/>
        </w:rPr>
        <w:t>presiser</w:t>
      </w:r>
      <w:r w:rsidR="00221766">
        <w:rPr>
          <w:szCs w:val="24"/>
        </w:rPr>
        <w:t xml:space="preserve">t </w:t>
      </w:r>
      <w:r w:rsidR="00C345E1">
        <w:rPr>
          <w:szCs w:val="24"/>
        </w:rPr>
        <w:t>i</w:t>
      </w:r>
      <w:r w:rsidR="00721929">
        <w:rPr>
          <w:szCs w:val="24"/>
        </w:rPr>
        <w:t xml:space="preserve"> bestemmelsene at endringen kun</w:t>
      </w:r>
      <w:r w:rsidR="00C345E1">
        <w:rPr>
          <w:szCs w:val="24"/>
        </w:rPr>
        <w:t xml:space="preserve"> gjelder</w:t>
      </w:r>
      <w:r w:rsidR="00721929">
        <w:rPr>
          <w:szCs w:val="24"/>
        </w:rPr>
        <w:t xml:space="preserve"> for </w:t>
      </w:r>
      <w:r w:rsidR="00AE4020">
        <w:rPr>
          <w:szCs w:val="24"/>
        </w:rPr>
        <w:t xml:space="preserve">de </w:t>
      </w:r>
      <w:r w:rsidR="00721929">
        <w:rPr>
          <w:szCs w:val="24"/>
        </w:rPr>
        <w:t>statlige virksomhete</w:t>
      </w:r>
      <w:r w:rsidR="00AE4020">
        <w:rPr>
          <w:szCs w:val="24"/>
        </w:rPr>
        <w:t>ne</w:t>
      </w:r>
      <w:r w:rsidR="00721929">
        <w:rPr>
          <w:szCs w:val="24"/>
        </w:rPr>
        <w:t xml:space="preserve"> som har merverdiavgiftspliktig omsetning. </w:t>
      </w:r>
    </w:p>
    <w:p w:rsidR="00DB45FA" w:rsidRDefault="00DB45FA" w:rsidP="00B861A4">
      <w:pPr>
        <w:rPr>
          <w:szCs w:val="24"/>
        </w:rPr>
      </w:pPr>
    </w:p>
    <w:p w:rsidR="005801A7" w:rsidRDefault="00946F72" w:rsidP="00B861A4">
      <w:pPr>
        <w:rPr>
          <w:szCs w:val="24"/>
        </w:rPr>
      </w:pPr>
      <w:r>
        <w:rPr>
          <w:szCs w:val="24"/>
        </w:rPr>
        <w:t xml:space="preserve">Tilsvarende </w:t>
      </w:r>
      <w:r w:rsidR="00C345E1">
        <w:rPr>
          <w:szCs w:val="24"/>
        </w:rPr>
        <w:t xml:space="preserve">er </w:t>
      </w:r>
      <w:r>
        <w:rPr>
          <w:szCs w:val="24"/>
        </w:rPr>
        <w:t xml:space="preserve">det tatt inn </w:t>
      </w:r>
      <w:r w:rsidR="00536221">
        <w:rPr>
          <w:szCs w:val="24"/>
        </w:rPr>
        <w:t>at v</w:t>
      </w:r>
      <w:r w:rsidR="00536221" w:rsidRPr="00536221">
        <w:rPr>
          <w:szCs w:val="24"/>
        </w:rPr>
        <w:t>irksomheter som inngår i nettoføringsordningen</w:t>
      </w:r>
      <w:r>
        <w:rPr>
          <w:szCs w:val="24"/>
        </w:rPr>
        <w:t>,</w:t>
      </w:r>
      <w:r w:rsidR="00536221" w:rsidRPr="00536221">
        <w:rPr>
          <w:szCs w:val="24"/>
        </w:rPr>
        <w:t xml:space="preserve"> skal kunne spesifisere merverdiavgift</w:t>
      </w:r>
      <w:r w:rsidR="0019357F">
        <w:rPr>
          <w:szCs w:val="24"/>
        </w:rPr>
        <w:t>en</w:t>
      </w:r>
      <w:r w:rsidR="00536221" w:rsidRPr="00536221">
        <w:rPr>
          <w:szCs w:val="24"/>
        </w:rPr>
        <w:t xml:space="preserve"> pr. transaksjon</w:t>
      </w:r>
      <w:r>
        <w:rPr>
          <w:szCs w:val="24"/>
        </w:rPr>
        <w:t xml:space="preserve"> (utgående merverdiavgift er ikke aktuelt innenfor denne </w:t>
      </w:r>
      <w:r>
        <w:rPr>
          <w:szCs w:val="24"/>
        </w:rPr>
        <w:lastRenderedPageBreak/>
        <w:t>ordningen)</w:t>
      </w:r>
      <w:r w:rsidR="00536221">
        <w:rPr>
          <w:szCs w:val="24"/>
        </w:rPr>
        <w:t>.</w:t>
      </w:r>
      <w:r>
        <w:rPr>
          <w:szCs w:val="24"/>
        </w:rPr>
        <w:t xml:space="preserve"> </w:t>
      </w:r>
      <w:r w:rsidR="00DB45FA">
        <w:rPr>
          <w:szCs w:val="24"/>
        </w:rPr>
        <w:t xml:space="preserve">Dette kravet følger også av rundskriv R-116 om nettoføringsordningen, pkt. 5.2 siste setning. </w:t>
      </w:r>
    </w:p>
    <w:p w:rsidR="00DB1590" w:rsidRDefault="00DB1590" w:rsidP="00FF5926">
      <w:pPr>
        <w:spacing w:after="120"/>
        <w:rPr>
          <w:szCs w:val="24"/>
        </w:rPr>
      </w:pPr>
    </w:p>
    <w:p w:rsidR="00BD50D5" w:rsidRPr="00BD50D5" w:rsidRDefault="008B115C" w:rsidP="00BD50D5">
      <w:pPr>
        <w:pStyle w:val="Listeavsnitt"/>
        <w:numPr>
          <w:ilvl w:val="0"/>
          <w:numId w:val="2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86CF4">
        <w:rPr>
          <w:rFonts w:ascii="Times New Roman" w:hAnsi="Times New Roman" w:cs="Times New Roman"/>
          <w:b/>
          <w:sz w:val="24"/>
          <w:szCs w:val="24"/>
        </w:rPr>
        <w:t>Endringer i krav til spesifikasjon av merverdiavgift (bestemmelsene pkt. 4.4.3 bokstav f</w:t>
      </w:r>
      <w:r w:rsidR="003B118E">
        <w:rPr>
          <w:rFonts w:ascii="Times New Roman" w:hAnsi="Times New Roman" w:cs="Times New Roman"/>
          <w:b/>
          <w:sz w:val="24"/>
          <w:szCs w:val="24"/>
        </w:rPr>
        <w:t>)</w:t>
      </w:r>
    </w:p>
    <w:p w:rsidR="008B115C" w:rsidRDefault="008B115C" w:rsidP="00B861A4">
      <w:pPr>
        <w:rPr>
          <w:szCs w:val="24"/>
        </w:rPr>
      </w:pPr>
      <w:r w:rsidRPr="008B115C">
        <w:rPr>
          <w:szCs w:val="24"/>
        </w:rPr>
        <w:t xml:space="preserve">Kravet </w:t>
      </w:r>
      <w:r w:rsidR="009F1122">
        <w:rPr>
          <w:szCs w:val="24"/>
        </w:rPr>
        <w:t xml:space="preserve">til </w:t>
      </w:r>
      <w:r w:rsidRPr="008B115C">
        <w:rPr>
          <w:szCs w:val="24"/>
        </w:rPr>
        <w:t>merverdiavgifts</w:t>
      </w:r>
      <w:r w:rsidR="009F1122">
        <w:rPr>
          <w:szCs w:val="24"/>
        </w:rPr>
        <w:t xml:space="preserve">spesifikasjon </w:t>
      </w:r>
      <w:r w:rsidRPr="008B115C">
        <w:rPr>
          <w:szCs w:val="24"/>
        </w:rPr>
        <w:t xml:space="preserve">gjelder for statlige virksomheter som er registrert i merverdiavgiftsregisteret. Kravet i bokføringsforskriften § 3-1 </w:t>
      </w:r>
      <w:r w:rsidR="009F1122">
        <w:rPr>
          <w:szCs w:val="24"/>
        </w:rPr>
        <w:t xml:space="preserve">første ledd </w:t>
      </w:r>
      <w:r w:rsidRPr="008B115C">
        <w:rPr>
          <w:szCs w:val="24"/>
        </w:rPr>
        <w:t xml:space="preserve">nr. 8 første og andre setning er </w:t>
      </w:r>
      <w:r w:rsidR="00075A2F">
        <w:rPr>
          <w:szCs w:val="24"/>
        </w:rPr>
        <w:t xml:space="preserve">tydeliggjort </w:t>
      </w:r>
      <w:r w:rsidRPr="008B115C">
        <w:rPr>
          <w:szCs w:val="24"/>
        </w:rPr>
        <w:t>slik at det kun er krav til å spesifisere grunnlaget for beregning av merverdiavgiften</w:t>
      </w:r>
      <w:r w:rsidR="00075A2F">
        <w:rPr>
          <w:szCs w:val="24"/>
        </w:rPr>
        <w:t>. Spesifikasjonene må vise beløp p</w:t>
      </w:r>
      <w:r w:rsidRPr="008B115C">
        <w:rPr>
          <w:szCs w:val="24"/>
        </w:rPr>
        <w:t>r</w:t>
      </w:r>
      <w:r w:rsidR="00075A2F">
        <w:rPr>
          <w:szCs w:val="24"/>
        </w:rPr>
        <w:t>.</w:t>
      </w:r>
      <w:r w:rsidRPr="008B115C">
        <w:rPr>
          <w:szCs w:val="24"/>
        </w:rPr>
        <w:t xml:space="preserve"> konto og totalt. Formuleringen før endring</w:t>
      </w:r>
      <w:r w:rsidR="00075A2F">
        <w:rPr>
          <w:szCs w:val="24"/>
        </w:rPr>
        <w:t>en</w:t>
      </w:r>
      <w:r w:rsidRPr="008B115C">
        <w:rPr>
          <w:szCs w:val="24"/>
        </w:rPr>
        <w:t xml:space="preserve"> var slik at både den inngående og utgående avgift og grunnlaget måtte vises.</w:t>
      </w:r>
    </w:p>
    <w:p w:rsidR="00B861A4" w:rsidRPr="008B115C" w:rsidRDefault="00B861A4" w:rsidP="00B861A4">
      <w:pPr>
        <w:rPr>
          <w:szCs w:val="24"/>
        </w:rPr>
      </w:pPr>
    </w:p>
    <w:p w:rsidR="008B115C" w:rsidRDefault="008B115C" w:rsidP="00B861A4">
      <w:pPr>
        <w:rPr>
          <w:szCs w:val="24"/>
        </w:rPr>
      </w:pPr>
      <w:r w:rsidRPr="008B115C">
        <w:rPr>
          <w:szCs w:val="24"/>
        </w:rPr>
        <w:t xml:space="preserve">Ved endring av forskriften er det tatt inn et nytt punkt om krav til å vise forskjeller mellom beregnet grunnlag i henhold til kontospesifikasjonen og innberettet avgiftsgrunnlag, spesifisert pr. transaksjon for hver avgiftssats. Hensikten er at det skal være mulig å avstemme opplysningene i avgiftsoppgaven mot regnskapet. </w:t>
      </w:r>
    </w:p>
    <w:p w:rsidR="00B861A4" w:rsidRPr="008B115C" w:rsidRDefault="00B861A4" w:rsidP="00B861A4">
      <w:pPr>
        <w:rPr>
          <w:szCs w:val="24"/>
        </w:rPr>
      </w:pPr>
    </w:p>
    <w:p w:rsidR="008B115C" w:rsidRDefault="00075A2F" w:rsidP="00B861A4">
      <w:pPr>
        <w:rPr>
          <w:szCs w:val="24"/>
        </w:rPr>
      </w:pPr>
      <w:r>
        <w:rPr>
          <w:szCs w:val="24"/>
        </w:rPr>
        <w:t xml:space="preserve">Bestemmelsene pkt. 4.4.3 bokstav f om spesifikasjon av merverdiavgift er en gjengivelse av </w:t>
      </w:r>
      <w:r w:rsidR="008D3FED">
        <w:rPr>
          <w:szCs w:val="24"/>
        </w:rPr>
        <w:t>krav</w:t>
      </w:r>
      <w:r>
        <w:rPr>
          <w:szCs w:val="24"/>
        </w:rPr>
        <w:t xml:space="preserve"> i bokføringsforskriften, og de </w:t>
      </w:r>
      <w:r w:rsidR="004A1312">
        <w:rPr>
          <w:szCs w:val="24"/>
        </w:rPr>
        <w:t xml:space="preserve">er </w:t>
      </w:r>
      <w:r>
        <w:rPr>
          <w:szCs w:val="24"/>
        </w:rPr>
        <w:t>derfor endre</w:t>
      </w:r>
      <w:r w:rsidR="004A1312">
        <w:rPr>
          <w:szCs w:val="24"/>
        </w:rPr>
        <w:t>t</w:t>
      </w:r>
      <w:r>
        <w:rPr>
          <w:szCs w:val="24"/>
        </w:rPr>
        <w:t xml:space="preserve"> tilsvarende </w:t>
      </w:r>
      <w:r w:rsidR="008D3FED">
        <w:rPr>
          <w:szCs w:val="24"/>
        </w:rPr>
        <w:t xml:space="preserve">de omtalte </w:t>
      </w:r>
      <w:r>
        <w:rPr>
          <w:szCs w:val="24"/>
        </w:rPr>
        <w:t xml:space="preserve">forskriftsendringene. </w:t>
      </w:r>
      <w:r w:rsidR="008D3FED">
        <w:rPr>
          <w:szCs w:val="24"/>
        </w:rPr>
        <w:t xml:space="preserve">Det ville </w:t>
      </w:r>
      <w:r w:rsidR="004A1312">
        <w:rPr>
          <w:szCs w:val="24"/>
        </w:rPr>
        <w:t xml:space="preserve">for øvrig </w:t>
      </w:r>
      <w:r w:rsidR="008D3FED">
        <w:rPr>
          <w:szCs w:val="24"/>
        </w:rPr>
        <w:t>ikke medført realitetsendringer å ta dette punktet ut av bestemmelsene, ettersom virksomheter som har avgiftspliktig omsetning, skal følge kravene til dokumentasjon i bokføringsloven med forskrift</w:t>
      </w:r>
      <w:r w:rsidR="00576CA4">
        <w:rPr>
          <w:szCs w:val="24"/>
        </w:rPr>
        <w:t xml:space="preserve"> (jf. </w:t>
      </w:r>
      <w:r w:rsidR="004A1312">
        <w:rPr>
          <w:szCs w:val="24"/>
        </w:rPr>
        <w:t>Finans</w:t>
      </w:r>
      <w:r w:rsidR="00576CA4">
        <w:rPr>
          <w:szCs w:val="24"/>
        </w:rPr>
        <w:t xml:space="preserve">departementets </w:t>
      </w:r>
      <w:r w:rsidR="00576CA4" w:rsidRPr="005D4C44">
        <w:rPr>
          <w:szCs w:val="24"/>
        </w:rPr>
        <w:t xml:space="preserve">høringsutkast av </w:t>
      </w:r>
      <w:r w:rsidR="00405CF6" w:rsidRPr="005D4C44">
        <w:rPr>
          <w:szCs w:val="24"/>
        </w:rPr>
        <w:t>6.10.2013</w:t>
      </w:r>
      <w:r w:rsidR="005D4C44">
        <w:rPr>
          <w:szCs w:val="24"/>
        </w:rPr>
        <w:t>)</w:t>
      </w:r>
      <w:r w:rsidR="008D3FED" w:rsidRPr="005D4C44">
        <w:rPr>
          <w:szCs w:val="24"/>
        </w:rPr>
        <w:t>.</w:t>
      </w:r>
      <w:r w:rsidR="008D3FED">
        <w:rPr>
          <w:szCs w:val="24"/>
        </w:rPr>
        <w:t xml:space="preserve"> </w:t>
      </w:r>
      <w:r w:rsidR="003B118E">
        <w:rPr>
          <w:szCs w:val="24"/>
        </w:rPr>
        <w:t>L</w:t>
      </w:r>
      <w:r w:rsidR="008D3FED">
        <w:rPr>
          <w:szCs w:val="24"/>
        </w:rPr>
        <w:t xml:space="preserve">ikevel </w:t>
      </w:r>
      <w:r w:rsidR="00221766">
        <w:rPr>
          <w:szCs w:val="24"/>
        </w:rPr>
        <w:t xml:space="preserve">er </w:t>
      </w:r>
      <w:r w:rsidR="008D3FED">
        <w:rPr>
          <w:szCs w:val="24"/>
        </w:rPr>
        <w:t xml:space="preserve">punktet </w:t>
      </w:r>
      <w:r w:rsidR="00221766">
        <w:rPr>
          <w:szCs w:val="24"/>
        </w:rPr>
        <w:t xml:space="preserve">beholdt </w:t>
      </w:r>
      <w:r w:rsidR="008D3FED">
        <w:rPr>
          <w:szCs w:val="24"/>
        </w:rPr>
        <w:t xml:space="preserve">i bestemmelsene som en informasjon og henvisning for statlige virksomheter. Det innebærer </w:t>
      </w:r>
      <w:r w:rsidR="00221766">
        <w:rPr>
          <w:szCs w:val="24"/>
        </w:rPr>
        <w:t xml:space="preserve">en </w:t>
      </w:r>
      <w:r w:rsidR="00B91975">
        <w:rPr>
          <w:szCs w:val="24"/>
        </w:rPr>
        <w:t>viderefør</w:t>
      </w:r>
      <w:r w:rsidR="00221766">
        <w:rPr>
          <w:szCs w:val="24"/>
        </w:rPr>
        <w:t xml:space="preserve">ing av </w:t>
      </w:r>
      <w:r w:rsidR="008D3FED">
        <w:rPr>
          <w:szCs w:val="24"/>
        </w:rPr>
        <w:t xml:space="preserve">opplegget som ble etablert ved regelverksrevisjonen i 2003. </w:t>
      </w:r>
    </w:p>
    <w:p w:rsidR="005F12A1" w:rsidRDefault="005F12A1" w:rsidP="00B861A4">
      <w:pPr>
        <w:rPr>
          <w:szCs w:val="24"/>
        </w:rPr>
      </w:pPr>
    </w:p>
    <w:p w:rsidR="005F12A1" w:rsidRPr="00C86CF4" w:rsidRDefault="00334A69" w:rsidP="00BD50D5">
      <w:pPr>
        <w:pStyle w:val="Listeavsnitt"/>
        <w:numPr>
          <w:ilvl w:val="0"/>
          <w:numId w:val="2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Endring</w:t>
      </w:r>
      <w:r w:rsidR="005F12A1" w:rsidRPr="00C86CF4">
        <w:rPr>
          <w:rFonts w:ascii="Times New Roman" w:hAnsi="Times New Roman" w:cs="Times New Roman"/>
          <w:b/>
          <w:sz w:val="24"/>
          <w:szCs w:val="24"/>
        </w:rPr>
        <w:t xml:space="preserve"> i begrepsbruk til lønnsopplysningspliktige ytelser (</w:t>
      </w:r>
      <w:r w:rsidR="00F63898">
        <w:rPr>
          <w:rFonts w:ascii="Times New Roman" w:hAnsi="Times New Roman" w:cs="Times New Roman"/>
          <w:b/>
          <w:sz w:val="24"/>
          <w:szCs w:val="24"/>
        </w:rPr>
        <w:t xml:space="preserve">blant annet i </w:t>
      </w:r>
      <w:r w:rsidR="005F12A1" w:rsidRPr="00C86CF4">
        <w:rPr>
          <w:rFonts w:ascii="Times New Roman" w:hAnsi="Times New Roman" w:cs="Times New Roman"/>
          <w:b/>
          <w:sz w:val="24"/>
          <w:szCs w:val="24"/>
        </w:rPr>
        <w:t>bestemmelsene pkt. 4.4.3 bokstav g</w:t>
      </w:r>
      <w:r w:rsidR="003B118E">
        <w:rPr>
          <w:rFonts w:ascii="Times New Roman" w:hAnsi="Times New Roman" w:cs="Times New Roman"/>
          <w:b/>
          <w:sz w:val="24"/>
          <w:szCs w:val="24"/>
        </w:rPr>
        <w:t>)</w:t>
      </w:r>
    </w:p>
    <w:p w:rsidR="00334A69" w:rsidRDefault="00E316AE" w:rsidP="005F12A1">
      <w:pPr>
        <w:rPr>
          <w:szCs w:val="24"/>
        </w:rPr>
      </w:pPr>
      <w:r>
        <w:rPr>
          <w:szCs w:val="24"/>
        </w:rPr>
        <w:t xml:space="preserve">I den oppdaterte bokføringsforskriften er </w:t>
      </w:r>
      <w:r w:rsidR="008D35D0">
        <w:rPr>
          <w:szCs w:val="24"/>
        </w:rPr>
        <w:t>begrepet «</w:t>
      </w:r>
      <w:r w:rsidR="00A100B4">
        <w:rPr>
          <w:szCs w:val="24"/>
        </w:rPr>
        <w:t>lønnsoppgavepliktig</w:t>
      </w:r>
      <w:r w:rsidR="008D35D0">
        <w:rPr>
          <w:szCs w:val="24"/>
        </w:rPr>
        <w:t>e</w:t>
      </w:r>
      <w:r w:rsidR="00A100B4">
        <w:rPr>
          <w:szCs w:val="24"/>
        </w:rPr>
        <w:t xml:space="preserve"> </w:t>
      </w:r>
      <w:r w:rsidR="008D35D0">
        <w:rPr>
          <w:szCs w:val="24"/>
        </w:rPr>
        <w:t>ytelser»</w:t>
      </w:r>
      <w:r>
        <w:rPr>
          <w:szCs w:val="24"/>
        </w:rPr>
        <w:t xml:space="preserve"> erstattet </w:t>
      </w:r>
      <w:r w:rsidR="00C72011">
        <w:rPr>
          <w:szCs w:val="24"/>
        </w:rPr>
        <w:t xml:space="preserve">med </w:t>
      </w:r>
      <w:r w:rsidR="008D35D0">
        <w:rPr>
          <w:szCs w:val="24"/>
        </w:rPr>
        <w:t>«</w:t>
      </w:r>
      <w:r w:rsidR="00282DA1">
        <w:rPr>
          <w:szCs w:val="24"/>
        </w:rPr>
        <w:t>lønns</w:t>
      </w:r>
      <w:r w:rsidR="00282DA1" w:rsidRPr="008D35D0">
        <w:rPr>
          <w:szCs w:val="24"/>
        </w:rPr>
        <w:t>opplysnings</w:t>
      </w:r>
      <w:r w:rsidR="00282DA1">
        <w:rPr>
          <w:szCs w:val="24"/>
        </w:rPr>
        <w:t>pliktig</w:t>
      </w:r>
      <w:r w:rsidR="008D35D0">
        <w:rPr>
          <w:szCs w:val="24"/>
        </w:rPr>
        <w:t>e ytelser»</w:t>
      </w:r>
      <w:r>
        <w:rPr>
          <w:szCs w:val="24"/>
        </w:rPr>
        <w:t xml:space="preserve">. </w:t>
      </w:r>
      <w:r w:rsidR="008D35D0">
        <w:rPr>
          <w:szCs w:val="24"/>
        </w:rPr>
        <w:t>Bakgrunnen for endringen er at den tidligere lønns- og trekkoppgaven fra arbeid</w:t>
      </w:r>
      <w:r w:rsidR="004A6445">
        <w:rPr>
          <w:szCs w:val="24"/>
        </w:rPr>
        <w:t>s</w:t>
      </w:r>
      <w:r w:rsidR="008D35D0">
        <w:rPr>
          <w:szCs w:val="24"/>
        </w:rPr>
        <w:t xml:space="preserve">givere til </w:t>
      </w:r>
      <w:r w:rsidR="004A1312">
        <w:rPr>
          <w:szCs w:val="24"/>
        </w:rPr>
        <w:t>S</w:t>
      </w:r>
      <w:r w:rsidR="008D35D0">
        <w:rPr>
          <w:szCs w:val="24"/>
        </w:rPr>
        <w:t xml:space="preserve">katteetaten fra 2015 er erstattet av a-meldingen </w:t>
      </w:r>
      <w:r w:rsidR="00836DFA">
        <w:rPr>
          <w:szCs w:val="24"/>
        </w:rPr>
        <w:t xml:space="preserve">med informasjon om ansettelses- og </w:t>
      </w:r>
      <w:r w:rsidR="004A6445">
        <w:rPr>
          <w:szCs w:val="24"/>
        </w:rPr>
        <w:t>inntektsforhold</w:t>
      </w:r>
      <w:r w:rsidR="00836DFA">
        <w:rPr>
          <w:szCs w:val="24"/>
        </w:rPr>
        <w:t xml:space="preserve"> med mer </w:t>
      </w:r>
      <w:r w:rsidR="008D35D0">
        <w:rPr>
          <w:szCs w:val="24"/>
        </w:rPr>
        <w:t xml:space="preserve">(som sendes elektronisk via </w:t>
      </w:r>
      <w:r w:rsidR="008D35D0" w:rsidRPr="008D35D0">
        <w:rPr>
          <w:szCs w:val="24"/>
        </w:rPr>
        <w:t>Altinn</w:t>
      </w:r>
      <w:r w:rsidR="008D35D0">
        <w:rPr>
          <w:szCs w:val="24"/>
        </w:rPr>
        <w:t xml:space="preserve">). </w:t>
      </w:r>
    </w:p>
    <w:p w:rsidR="00334A69" w:rsidRDefault="00334A69" w:rsidP="005F12A1">
      <w:pPr>
        <w:rPr>
          <w:szCs w:val="24"/>
        </w:rPr>
      </w:pPr>
    </w:p>
    <w:p w:rsidR="005F12A1" w:rsidRDefault="00334A69" w:rsidP="005F12A1">
      <w:pPr>
        <w:rPr>
          <w:szCs w:val="24"/>
        </w:rPr>
      </w:pPr>
      <w:r>
        <w:rPr>
          <w:szCs w:val="24"/>
        </w:rPr>
        <w:t>Endringen i opplegget for innrapportering gjelder også for statlige virksomheter. Begrepet «lønnsoppgavepliktige ytelser» er derfor erstattet med «lønnsopplysningspliktige ytelser» og tilsvarende er begrepet «lønn og andre oppgaveplik</w:t>
      </w:r>
      <w:r w:rsidR="00B861A4">
        <w:rPr>
          <w:szCs w:val="24"/>
        </w:rPr>
        <w:t>ti</w:t>
      </w:r>
      <w:r>
        <w:rPr>
          <w:szCs w:val="24"/>
        </w:rPr>
        <w:t>ge ytelser» erstattet av «</w:t>
      </w:r>
      <w:r w:rsidR="00B861A4">
        <w:rPr>
          <w:szCs w:val="24"/>
        </w:rPr>
        <w:t>lønn og andre opplysnings</w:t>
      </w:r>
      <w:r>
        <w:rPr>
          <w:szCs w:val="24"/>
        </w:rPr>
        <w:t xml:space="preserve">pliktige ytelser». </w:t>
      </w:r>
      <w:r w:rsidR="004A1312">
        <w:rPr>
          <w:szCs w:val="24"/>
        </w:rPr>
        <w:t xml:space="preserve"> Dette berører flere kapitler og punkter i bestemmelsene. </w:t>
      </w:r>
    </w:p>
    <w:p w:rsidR="005801A7" w:rsidRDefault="005801A7" w:rsidP="00FF5926">
      <w:pPr>
        <w:spacing w:after="120"/>
        <w:rPr>
          <w:szCs w:val="24"/>
        </w:rPr>
      </w:pPr>
    </w:p>
    <w:p w:rsidR="00753A40" w:rsidRPr="00081E9C" w:rsidRDefault="009727B5" w:rsidP="00B320FE">
      <w:pPr>
        <w:pStyle w:val="Listeavsnitt"/>
        <w:numPr>
          <w:ilvl w:val="0"/>
          <w:numId w:val="2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81E9C">
        <w:rPr>
          <w:rFonts w:ascii="Times New Roman" w:hAnsi="Times New Roman" w:cs="Times New Roman"/>
          <w:b/>
          <w:sz w:val="24"/>
          <w:szCs w:val="24"/>
        </w:rPr>
        <w:t>Endringer i krav til sikkerhetskopi (</w:t>
      </w:r>
      <w:r w:rsidR="00CC2AAF">
        <w:rPr>
          <w:rFonts w:ascii="Times New Roman" w:hAnsi="Times New Roman" w:cs="Times New Roman"/>
          <w:b/>
          <w:sz w:val="24"/>
          <w:szCs w:val="24"/>
        </w:rPr>
        <w:t xml:space="preserve">bestemmelsene </w:t>
      </w:r>
      <w:r w:rsidRPr="00081E9C">
        <w:rPr>
          <w:rFonts w:ascii="Times New Roman" w:hAnsi="Times New Roman" w:cs="Times New Roman"/>
          <w:b/>
          <w:sz w:val="24"/>
          <w:szCs w:val="24"/>
        </w:rPr>
        <w:t xml:space="preserve">pkt. </w:t>
      </w:r>
      <w:r w:rsidR="008849EF">
        <w:rPr>
          <w:rFonts w:ascii="Times New Roman" w:hAnsi="Times New Roman" w:cs="Times New Roman"/>
          <w:b/>
          <w:sz w:val="24"/>
          <w:szCs w:val="24"/>
        </w:rPr>
        <w:t>4.4.9.3</w:t>
      </w:r>
      <w:r w:rsidR="008B46EB">
        <w:rPr>
          <w:rFonts w:ascii="Times New Roman" w:hAnsi="Times New Roman" w:cs="Times New Roman"/>
          <w:b/>
          <w:sz w:val="24"/>
          <w:szCs w:val="24"/>
        </w:rPr>
        <w:t>)</w:t>
      </w:r>
    </w:p>
    <w:p w:rsidR="0043088C" w:rsidRDefault="00226F8A" w:rsidP="00F40749">
      <w:pPr>
        <w:rPr>
          <w:szCs w:val="24"/>
        </w:rPr>
      </w:pPr>
      <w:r>
        <w:rPr>
          <w:szCs w:val="24"/>
        </w:rPr>
        <w:t>I b</w:t>
      </w:r>
      <w:r w:rsidR="009727B5">
        <w:rPr>
          <w:szCs w:val="24"/>
        </w:rPr>
        <w:t xml:space="preserve">okføringsforskriften § 7-2, andre, fjerde og femte ledd er det tatt inn nye krav til hvor hyppig elektronisk regnskapsmateriale skal sikkerhetskopieres og at det skal foreligge en fortegnelse over regnskapsmateriale som er </w:t>
      </w:r>
      <w:r w:rsidR="00282DA1">
        <w:rPr>
          <w:szCs w:val="24"/>
        </w:rPr>
        <w:t>sikkerhetskopiert</w:t>
      </w:r>
      <w:r w:rsidR="009727B5">
        <w:rPr>
          <w:szCs w:val="24"/>
        </w:rPr>
        <w:t xml:space="preserve">. </w:t>
      </w:r>
    </w:p>
    <w:p w:rsidR="00F40749" w:rsidRDefault="00F40749" w:rsidP="00F40749">
      <w:pPr>
        <w:rPr>
          <w:szCs w:val="24"/>
        </w:rPr>
      </w:pPr>
    </w:p>
    <w:p w:rsidR="009727B5" w:rsidRDefault="009727B5" w:rsidP="00F40749">
      <w:pPr>
        <w:rPr>
          <w:szCs w:val="24"/>
        </w:rPr>
      </w:pPr>
      <w:r>
        <w:rPr>
          <w:szCs w:val="24"/>
        </w:rPr>
        <w:t>Bakgrunnen for de nye kravene</w:t>
      </w:r>
      <w:r w:rsidR="0043088C">
        <w:rPr>
          <w:szCs w:val="24"/>
        </w:rPr>
        <w:t xml:space="preserve"> </w:t>
      </w:r>
      <w:r w:rsidR="004A1312">
        <w:rPr>
          <w:szCs w:val="24"/>
        </w:rPr>
        <w:t xml:space="preserve">i bokføringsforskriften </w:t>
      </w:r>
      <w:r>
        <w:rPr>
          <w:szCs w:val="24"/>
        </w:rPr>
        <w:t>er</w:t>
      </w:r>
      <w:r w:rsidR="0043088C">
        <w:rPr>
          <w:szCs w:val="24"/>
        </w:rPr>
        <w:t xml:space="preserve"> behov for en konkretisering av h</w:t>
      </w:r>
      <w:r w:rsidR="0043088C" w:rsidRPr="0043088C">
        <w:rPr>
          <w:szCs w:val="24"/>
        </w:rPr>
        <w:t xml:space="preserve">va </w:t>
      </w:r>
      <w:r w:rsidR="0043088C">
        <w:rPr>
          <w:szCs w:val="24"/>
        </w:rPr>
        <w:t xml:space="preserve">som </w:t>
      </w:r>
      <w:r w:rsidR="0043088C" w:rsidRPr="0043088C">
        <w:rPr>
          <w:szCs w:val="24"/>
        </w:rPr>
        <w:t>kreves for at en sikkerhetskopi skal gi betryggende sikring av elektronisk regnskapsmateriale</w:t>
      </w:r>
      <w:r w:rsidR="0043088C">
        <w:rPr>
          <w:szCs w:val="24"/>
        </w:rPr>
        <w:t xml:space="preserve">, </w:t>
      </w:r>
      <w:r w:rsidR="00453381">
        <w:rPr>
          <w:szCs w:val="24"/>
        </w:rPr>
        <w:t>jf.</w:t>
      </w:r>
      <w:r w:rsidR="0043088C">
        <w:rPr>
          <w:szCs w:val="24"/>
        </w:rPr>
        <w:t xml:space="preserve"> </w:t>
      </w:r>
      <w:r w:rsidR="00D9386B">
        <w:rPr>
          <w:szCs w:val="24"/>
        </w:rPr>
        <w:t>delrapport II</w:t>
      </w:r>
      <w:r w:rsidR="00113FAD">
        <w:rPr>
          <w:szCs w:val="24"/>
        </w:rPr>
        <w:t>I</w:t>
      </w:r>
      <w:r w:rsidR="00D9386B">
        <w:rPr>
          <w:szCs w:val="24"/>
        </w:rPr>
        <w:t xml:space="preserve"> fra </w:t>
      </w:r>
      <w:r w:rsidR="0043088C">
        <w:rPr>
          <w:szCs w:val="24"/>
        </w:rPr>
        <w:t>Bokføringsstandardstyret i</w:t>
      </w:r>
      <w:r w:rsidR="00D9386B">
        <w:rPr>
          <w:szCs w:val="24"/>
        </w:rPr>
        <w:t xml:space="preserve"> </w:t>
      </w:r>
      <w:r w:rsidR="00113FAD">
        <w:rPr>
          <w:szCs w:val="24"/>
        </w:rPr>
        <w:t>2009</w:t>
      </w:r>
      <w:r w:rsidR="0043088C">
        <w:rPr>
          <w:szCs w:val="24"/>
        </w:rPr>
        <w:t xml:space="preserve">. </w:t>
      </w:r>
      <w:r w:rsidR="00113FAD">
        <w:rPr>
          <w:szCs w:val="24"/>
        </w:rPr>
        <w:t>Krav til oppbevaring</w:t>
      </w:r>
      <w:r w:rsidR="00282DA1">
        <w:rPr>
          <w:szCs w:val="24"/>
        </w:rPr>
        <w:t>s</w:t>
      </w:r>
      <w:r w:rsidR="00AA7592">
        <w:rPr>
          <w:szCs w:val="24"/>
        </w:rPr>
        <w:t>t</w:t>
      </w:r>
      <w:r w:rsidR="00282DA1">
        <w:rPr>
          <w:szCs w:val="24"/>
        </w:rPr>
        <w:t>i</w:t>
      </w:r>
      <w:r w:rsidR="00AA7592">
        <w:rPr>
          <w:szCs w:val="24"/>
        </w:rPr>
        <w:t>d for</w:t>
      </w:r>
      <w:r w:rsidR="00113FAD">
        <w:rPr>
          <w:szCs w:val="24"/>
        </w:rPr>
        <w:t xml:space="preserve"> fortegnelsen</w:t>
      </w:r>
      <w:r w:rsidR="00AA7592">
        <w:rPr>
          <w:szCs w:val="24"/>
        </w:rPr>
        <w:t xml:space="preserve"> (over regnskapsmateriale som er sikkerhetskopiert) </w:t>
      </w:r>
      <w:r w:rsidR="00113FAD">
        <w:rPr>
          <w:szCs w:val="24"/>
        </w:rPr>
        <w:t>ble fra 1.1.2015 red</w:t>
      </w:r>
      <w:r w:rsidR="0043088C">
        <w:rPr>
          <w:szCs w:val="24"/>
        </w:rPr>
        <w:t xml:space="preserve">usert fra ti til fem år fordi oppbevaringstiden for primærdokumentasjon generelt ble endret. </w:t>
      </w:r>
    </w:p>
    <w:p w:rsidR="00F40749" w:rsidRDefault="00F40749" w:rsidP="00F40749">
      <w:pPr>
        <w:rPr>
          <w:szCs w:val="24"/>
        </w:rPr>
      </w:pPr>
    </w:p>
    <w:p w:rsidR="00EC45DD" w:rsidRDefault="009727B5" w:rsidP="00F40749">
      <w:pPr>
        <w:rPr>
          <w:szCs w:val="24"/>
        </w:rPr>
      </w:pPr>
      <w:r>
        <w:rPr>
          <w:szCs w:val="24"/>
        </w:rPr>
        <w:lastRenderedPageBreak/>
        <w:t xml:space="preserve">De nye kravene i bokføringsloven </w:t>
      </w:r>
      <w:r w:rsidR="004A1312">
        <w:rPr>
          <w:szCs w:val="24"/>
        </w:rPr>
        <w:t xml:space="preserve">med forskrift er </w:t>
      </w:r>
      <w:r>
        <w:rPr>
          <w:szCs w:val="24"/>
        </w:rPr>
        <w:t>vurder</w:t>
      </w:r>
      <w:r w:rsidR="004A1312">
        <w:rPr>
          <w:szCs w:val="24"/>
        </w:rPr>
        <w:t>t</w:t>
      </w:r>
      <w:r>
        <w:rPr>
          <w:szCs w:val="24"/>
        </w:rPr>
        <w:t xml:space="preserve"> som relevante også for statlige virksomheter. </w:t>
      </w:r>
      <w:r w:rsidR="004A1312">
        <w:rPr>
          <w:szCs w:val="24"/>
        </w:rPr>
        <w:t xml:space="preserve">Endringene </w:t>
      </w:r>
      <w:r>
        <w:rPr>
          <w:szCs w:val="24"/>
        </w:rPr>
        <w:t xml:space="preserve">tydeliggjør de </w:t>
      </w:r>
      <w:r w:rsidR="004A1312">
        <w:rPr>
          <w:szCs w:val="24"/>
        </w:rPr>
        <w:t xml:space="preserve">tidligere </w:t>
      </w:r>
      <w:r>
        <w:rPr>
          <w:szCs w:val="24"/>
        </w:rPr>
        <w:t xml:space="preserve">kravene til sikkerhetskopi og </w:t>
      </w:r>
      <w:r w:rsidR="00362BFE">
        <w:rPr>
          <w:szCs w:val="24"/>
        </w:rPr>
        <w:t xml:space="preserve">tilsvarende endringer </w:t>
      </w:r>
      <w:r w:rsidR="001A550C">
        <w:rPr>
          <w:szCs w:val="24"/>
        </w:rPr>
        <w:t xml:space="preserve">er </w:t>
      </w:r>
      <w:r>
        <w:rPr>
          <w:szCs w:val="24"/>
        </w:rPr>
        <w:t xml:space="preserve">tatt inn i bestemmelsene pkt. 4.4.9.3. </w:t>
      </w:r>
    </w:p>
    <w:p w:rsidR="004A1312" w:rsidRDefault="004A1312" w:rsidP="00F40749">
      <w:pPr>
        <w:rPr>
          <w:szCs w:val="24"/>
        </w:rPr>
      </w:pPr>
    </w:p>
    <w:p w:rsidR="004A1312" w:rsidRPr="00081E9C" w:rsidRDefault="004A1312" w:rsidP="00B320FE">
      <w:pPr>
        <w:pStyle w:val="Listeavsnitt"/>
        <w:numPr>
          <w:ilvl w:val="0"/>
          <w:numId w:val="28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81E9C">
        <w:rPr>
          <w:rFonts w:ascii="Times New Roman" w:hAnsi="Times New Roman" w:cs="Times New Roman"/>
          <w:b/>
          <w:sz w:val="24"/>
          <w:szCs w:val="24"/>
        </w:rPr>
        <w:t xml:space="preserve">Endringer i krav til </w:t>
      </w:r>
      <w:r>
        <w:rPr>
          <w:rFonts w:ascii="Times New Roman" w:hAnsi="Times New Roman" w:cs="Times New Roman"/>
          <w:b/>
          <w:sz w:val="24"/>
          <w:szCs w:val="24"/>
        </w:rPr>
        <w:t xml:space="preserve">oppbevaringstid for regnskapsmateriale </w:t>
      </w:r>
      <w:r w:rsidRPr="00081E9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bestemmelsene </w:t>
      </w:r>
      <w:r w:rsidRPr="00081E9C">
        <w:rPr>
          <w:rFonts w:ascii="Times New Roman" w:hAnsi="Times New Roman" w:cs="Times New Roman"/>
          <w:b/>
          <w:sz w:val="24"/>
          <w:szCs w:val="24"/>
        </w:rPr>
        <w:t xml:space="preserve">pkt. </w:t>
      </w:r>
      <w:r>
        <w:rPr>
          <w:rFonts w:ascii="Times New Roman" w:hAnsi="Times New Roman" w:cs="Times New Roman"/>
          <w:b/>
          <w:sz w:val="24"/>
          <w:szCs w:val="24"/>
        </w:rPr>
        <w:t>4.4.</w:t>
      </w:r>
      <w:r w:rsidR="00F63898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63898" w:rsidRDefault="00F63898" w:rsidP="00F63898">
      <w:pPr>
        <w:rPr>
          <w:szCs w:val="24"/>
        </w:rPr>
      </w:pPr>
      <w:r w:rsidRPr="00F63898">
        <w:rPr>
          <w:szCs w:val="24"/>
        </w:rPr>
        <w:t xml:space="preserve">Endringer i bokføringsloven (BL) som trådte i kraft 1.1.2015, innebar at krav overfor bokføringspliktige til oppbevaringstid for deler av regnskapsmaterialet, ble redusert fra ti til fem år (jf. BL § 13). DFØ </w:t>
      </w:r>
      <w:r w:rsidR="006F3C67">
        <w:rPr>
          <w:szCs w:val="24"/>
        </w:rPr>
        <w:t xml:space="preserve">har </w:t>
      </w:r>
      <w:r w:rsidRPr="00F63898">
        <w:rPr>
          <w:szCs w:val="24"/>
        </w:rPr>
        <w:t>vurdert</w:t>
      </w:r>
      <w:r w:rsidR="006F3C67">
        <w:rPr>
          <w:szCs w:val="24"/>
        </w:rPr>
        <w:t xml:space="preserve"> </w:t>
      </w:r>
      <w:r w:rsidRPr="00F63898">
        <w:rPr>
          <w:szCs w:val="24"/>
        </w:rPr>
        <w:t xml:space="preserve">om bestemmelsene om økonomistyring i staten pkt. 4.4.10 </w:t>
      </w:r>
      <w:r w:rsidR="006F3C67">
        <w:rPr>
          <w:szCs w:val="24"/>
        </w:rPr>
        <w:t xml:space="preserve">bør </w:t>
      </w:r>
      <w:r w:rsidRPr="00F63898">
        <w:rPr>
          <w:szCs w:val="24"/>
        </w:rPr>
        <w:t xml:space="preserve">endres tilsvarende. </w:t>
      </w:r>
    </w:p>
    <w:p w:rsidR="003D48FB" w:rsidRPr="00F63898" w:rsidRDefault="003D48FB" w:rsidP="00F63898">
      <w:pPr>
        <w:rPr>
          <w:szCs w:val="24"/>
        </w:rPr>
      </w:pPr>
    </w:p>
    <w:p w:rsidR="006A2A10" w:rsidRPr="00F63898" w:rsidRDefault="003D48FB" w:rsidP="006A2A10">
      <w:pPr>
        <w:rPr>
          <w:szCs w:val="24"/>
        </w:rPr>
      </w:pPr>
      <w:r w:rsidRPr="00F63898">
        <w:rPr>
          <w:szCs w:val="24"/>
        </w:rPr>
        <w:t xml:space="preserve">DFØ </w:t>
      </w:r>
      <w:r w:rsidR="00F63898" w:rsidRPr="00F63898">
        <w:rPr>
          <w:szCs w:val="24"/>
        </w:rPr>
        <w:t>tilrå</w:t>
      </w:r>
      <w:r w:rsidR="000709B6">
        <w:rPr>
          <w:szCs w:val="24"/>
        </w:rPr>
        <w:t>dde</w:t>
      </w:r>
      <w:r w:rsidR="00F63898" w:rsidRPr="00F63898">
        <w:rPr>
          <w:szCs w:val="24"/>
        </w:rPr>
        <w:t xml:space="preserve"> </w:t>
      </w:r>
      <w:r w:rsidR="000709B6">
        <w:rPr>
          <w:szCs w:val="24"/>
        </w:rPr>
        <w:t xml:space="preserve">overfor Finansdepartementet </w:t>
      </w:r>
      <w:r w:rsidR="00F63898" w:rsidRPr="00F63898">
        <w:rPr>
          <w:szCs w:val="24"/>
        </w:rPr>
        <w:t xml:space="preserve">at kravet til oppbevaringstid av regnskapsmateriale i statlige virksomheter i hovedsak </w:t>
      </w:r>
      <w:r w:rsidR="000709B6">
        <w:rPr>
          <w:szCs w:val="24"/>
        </w:rPr>
        <w:t xml:space="preserve">ble </w:t>
      </w:r>
      <w:r w:rsidR="00F63898" w:rsidRPr="00F63898">
        <w:rPr>
          <w:szCs w:val="24"/>
        </w:rPr>
        <w:t>hold</w:t>
      </w:r>
      <w:r w:rsidR="000709B6">
        <w:rPr>
          <w:szCs w:val="24"/>
        </w:rPr>
        <w:t>t</w:t>
      </w:r>
      <w:r w:rsidR="00F63898" w:rsidRPr="00F63898">
        <w:rPr>
          <w:szCs w:val="24"/>
        </w:rPr>
        <w:t xml:space="preserve"> uendret på ti år, jf. bestemmelsene pkt. 4.4.10.2. Det </w:t>
      </w:r>
      <w:r w:rsidR="006F3C67">
        <w:rPr>
          <w:szCs w:val="24"/>
        </w:rPr>
        <w:t xml:space="preserve">ble </w:t>
      </w:r>
      <w:r w:rsidR="00F63898" w:rsidRPr="00F63898">
        <w:rPr>
          <w:szCs w:val="24"/>
        </w:rPr>
        <w:t xml:space="preserve">imidlertid </w:t>
      </w:r>
      <w:r w:rsidR="006F3C67">
        <w:rPr>
          <w:szCs w:val="24"/>
        </w:rPr>
        <w:t xml:space="preserve">foreslått å </w:t>
      </w:r>
      <w:r w:rsidR="00F63898" w:rsidRPr="00F63898">
        <w:rPr>
          <w:szCs w:val="24"/>
        </w:rPr>
        <w:t>åpne</w:t>
      </w:r>
      <w:r w:rsidR="006F3C67">
        <w:rPr>
          <w:szCs w:val="24"/>
        </w:rPr>
        <w:t xml:space="preserve"> </w:t>
      </w:r>
      <w:r w:rsidR="00F63898" w:rsidRPr="00F63898">
        <w:rPr>
          <w:szCs w:val="24"/>
        </w:rPr>
        <w:t xml:space="preserve">for at virksomhetene kan kvitte seg med papirfakturaer og andre utbetalingsdokumenter i papirform som er knyttet til anskaffelser, dersom transaksjonene er bokført før 1.1.2011. </w:t>
      </w:r>
      <w:r w:rsidR="006F3C67">
        <w:rPr>
          <w:szCs w:val="24"/>
        </w:rPr>
        <w:t xml:space="preserve">Finansdepartementet fulgte denne tilrådningen. Endringen i bestemmelsene </w:t>
      </w:r>
      <w:r w:rsidR="00F63898" w:rsidRPr="00F63898">
        <w:rPr>
          <w:szCs w:val="24"/>
        </w:rPr>
        <w:t>innebærer at papirfakturaer som er eldre enn fem år ved iverksettingstidspunktet for nye krav (1.1.2016), kan kastes.</w:t>
      </w:r>
      <w:r w:rsidR="006A2A10">
        <w:rPr>
          <w:szCs w:val="24"/>
        </w:rPr>
        <w:t xml:space="preserve"> </w:t>
      </w:r>
      <w:r w:rsidR="006F3C67">
        <w:rPr>
          <w:szCs w:val="24"/>
        </w:rPr>
        <w:t xml:space="preserve">Opplegget </w:t>
      </w:r>
      <w:r w:rsidR="006A2A10" w:rsidRPr="00F63898">
        <w:rPr>
          <w:szCs w:val="24"/>
        </w:rPr>
        <w:t xml:space="preserve">innebærer at virksomheter kan få redusert ressursbruk til oppbevaring av regnskapsmateriale på papir. De største potensielle gevinstene ved å redusere oppbevaringstiden knytter seg sannsynligvis til papirarkiver. </w:t>
      </w:r>
    </w:p>
    <w:p w:rsidR="006A2A10" w:rsidRDefault="006A2A10" w:rsidP="00F63898">
      <w:pPr>
        <w:rPr>
          <w:szCs w:val="24"/>
        </w:rPr>
      </w:pPr>
    </w:p>
    <w:p w:rsidR="00F63898" w:rsidRPr="00F63898" w:rsidRDefault="003D48FB" w:rsidP="00F63898">
      <w:pPr>
        <w:rPr>
          <w:szCs w:val="24"/>
        </w:rPr>
      </w:pPr>
      <w:r>
        <w:rPr>
          <w:szCs w:val="24"/>
        </w:rPr>
        <w:t>F</w:t>
      </w:r>
      <w:r w:rsidR="00F63898" w:rsidRPr="00F63898">
        <w:rPr>
          <w:szCs w:val="24"/>
        </w:rPr>
        <w:t xml:space="preserve">ra 2011 har vært krav </w:t>
      </w:r>
      <w:r w:rsidR="006F3C67">
        <w:rPr>
          <w:szCs w:val="24"/>
        </w:rPr>
        <w:t xml:space="preserve">om </w:t>
      </w:r>
      <w:r w:rsidR="00F63898" w:rsidRPr="00F63898">
        <w:rPr>
          <w:szCs w:val="24"/>
        </w:rPr>
        <w:t>at statlige virksomheter skal ha rutiner og systemer for elektronisk fakturabe</w:t>
      </w:r>
      <w:bookmarkStart w:id="0" w:name="_GoBack"/>
      <w:bookmarkEnd w:id="0"/>
      <w:r w:rsidR="00F63898" w:rsidRPr="00F63898">
        <w:rPr>
          <w:szCs w:val="24"/>
        </w:rPr>
        <w:t>handling</w:t>
      </w:r>
      <w:r w:rsidR="006F3C67">
        <w:rPr>
          <w:szCs w:val="24"/>
        </w:rPr>
        <w:t xml:space="preserve"> (jf. bestemmelsene pkt. 5.3.5.1)</w:t>
      </w:r>
      <w:r w:rsidR="00F63898" w:rsidRPr="00F63898">
        <w:rPr>
          <w:szCs w:val="24"/>
        </w:rPr>
        <w:t>.</w:t>
      </w:r>
      <w:r w:rsidR="006A2A10">
        <w:rPr>
          <w:szCs w:val="24"/>
        </w:rPr>
        <w:t xml:space="preserve"> </w:t>
      </w:r>
      <w:r w:rsidR="006A2A10" w:rsidRPr="001A5455">
        <w:rPr>
          <w:szCs w:val="24"/>
        </w:rPr>
        <w:t>Statlige virksomheter har helt fra 1997 hatt mulighet til å oppbevare deler av regnskapsmaterialet i elektronisk form, og i 2001 ble elektroniske dokumenter og papirdokumenter sidestilte i økonomiregelverket.</w:t>
      </w:r>
      <w:r w:rsidR="00F63898" w:rsidRPr="00F63898">
        <w:rPr>
          <w:szCs w:val="24"/>
        </w:rPr>
        <w:t xml:space="preserve"> Alle fakturaer og andre utbetalingsdokumenter knyttet til anskaffelser </w:t>
      </w:r>
      <w:r>
        <w:rPr>
          <w:szCs w:val="24"/>
        </w:rPr>
        <w:t xml:space="preserve">bokført på et senere </w:t>
      </w:r>
      <w:r w:rsidR="00F63898" w:rsidRPr="00F63898">
        <w:rPr>
          <w:szCs w:val="24"/>
        </w:rPr>
        <w:t>tidspunkt</w:t>
      </w:r>
      <w:r w:rsidR="006F3C67">
        <w:rPr>
          <w:szCs w:val="24"/>
        </w:rPr>
        <w:t xml:space="preserve"> enn 2011</w:t>
      </w:r>
      <w:r>
        <w:rPr>
          <w:szCs w:val="24"/>
        </w:rPr>
        <w:t xml:space="preserve">, </w:t>
      </w:r>
      <w:r w:rsidR="0050059C">
        <w:rPr>
          <w:szCs w:val="24"/>
        </w:rPr>
        <w:t xml:space="preserve">skal være </w:t>
      </w:r>
      <w:r w:rsidR="00F63898" w:rsidRPr="00F63898">
        <w:rPr>
          <w:szCs w:val="24"/>
        </w:rPr>
        <w:t>lagret og behandlet i elektronisk form.</w:t>
      </w:r>
      <w:r w:rsidR="006A2A10">
        <w:rPr>
          <w:szCs w:val="24"/>
        </w:rPr>
        <w:t xml:space="preserve"> </w:t>
      </w:r>
      <w:r w:rsidR="006A2A10" w:rsidRPr="001A5455">
        <w:rPr>
          <w:szCs w:val="24"/>
        </w:rPr>
        <w:t>Dette skiller statlige virksomheter fra bokføringspliktige virksomheter</w:t>
      </w:r>
      <w:r w:rsidR="0050059C">
        <w:rPr>
          <w:szCs w:val="24"/>
        </w:rPr>
        <w:t xml:space="preserve">. </w:t>
      </w:r>
    </w:p>
    <w:p w:rsidR="00D871D4" w:rsidRDefault="00D871D4" w:rsidP="00F40749">
      <w:pPr>
        <w:rPr>
          <w:szCs w:val="24"/>
        </w:rPr>
      </w:pPr>
    </w:p>
    <w:sectPr w:rsidR="00D871D4" w:rsidSect="003057D4">
      <w:headerReference w:type="default" r:id="rId9"/>
      <w:headerReference w:type="first" r:id="rId10"/>
      <w:footerReference w:type="first" r:id="rId11"/>
      <w:pgSz w:w="11906" w:h="16838" w:code="9"/>
      <w:pgMar w:top="1542" w:right="1134" w:bottom="1134" w:left="1134" w:header="116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B3" w:rsidRDefault="004508B3">
      <w:r>
        <w:separator/>
      </w:r>
    </w:p>
  </w:endnote>
  <w:endnote w:type="continuationSeparator" w:id="0">
    <w:p w:rsidR="004508B3" w:rsidRDefault="004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79" w:rsidRDefault="00177C79"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76BC5F83" wp14:editId="33A9180E">
          <wp:simplePos x="0" y="0"/>
          <wp:positionH relativeFrom="page">
            <wp:posOffset>4522811</wp:posOffset>
          </wp:positionH>
          <wp:positionV relativeFrom="page">
            <wp:posOffset>9382836</wp:posOffset>
          </wp:positionV>
          <wp:extent cx="2362485" cy="893928"/>
          <wp:effectExtent l="19050" t="0" r="0" b="0"/>
          <wp:wrapNone/>
          <wp:docPr id="9" name="Bilde 9" descr="SSO_ruteark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SO_ruteark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485" cy="893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1"/>
      <w:gridCol w:w="1367"/>
    </w:tblGrid>
    <w:tr w:rsidR="00177C79">
      <w:trPr>
        <w:cantSplit/>
      </w:trPr>
      <w:tc>
        <w:tcPr>
          <w:tcW w:w="6061" w:type="dxa"/>
          <w:vAlign w:val="bottom"/>
        </w:tcPr>
        <w:p w:rsidR="00177C79" w:rsidRDefault="00177C79">
          <w:pPr>
            <w:pStyle w:val="Topptekst"/>
            <w:spacing w:before="40"/>
            <w:rPr>
              <w:rFonts w:ascii="Times New Roman" w:hAnsi="Times New Roman"/>
              <w:noProof/>
              <w:sz w:val="20"/>
            </w:rPr>
          </w:pPr>
        </w:p>
        <w:p w:rsidR="00177C79" w:rsidRDefault="00177C79">
          <w:pPr>
            <w:pStyle w:val="Topptekst"/>
            <w:spacing w:before="40"/>
            <w:rPr>
              <w:rFonts w:ascii="Times New Roman" w:hAnsi="Times New Roman"/>
              <w:noProof/>
              <w:sz w:val="20"/>
            </w:rPr>
          </w:pPr>
        </w:p>
      </w:tc>
      <w:tc>
        <w:tcPr>
          <w:tcW w:w="1367" w:type="dxa"/>
          <w:vAlign w:val="bottom"/>
        </w:tcPr>
        <w:p w:rsidR="00177C79" w:rsidRDefault="00177C79">
          <w:pPr>
            <w:pStyle w:val="Topptekst"/>
            <w:spacing w:before="40"/>
            <w:ind w:right="84"/>
            <w:rPr>
              <w:rFonts w:ascii="Times New Roman" w:hAnsi="Times New Roman"/>
              <w:noProof/>
              <w:sz w:val="20"/>
            </w:rPr>
          </w:pPr>
        </w:p>
      </w:tc>
    </w:tr>
  </w:tbl>
  <w:p w:rsidR="00177C79" w:rsidRDefault="00177C79">
    <w:pPr>
      <w:pStyle w:val="Bunntekst"/>
      <w:rPr>
        <w:noProof/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B3" w:rsidRDefault="004508B3">
      <w:r>
        <w:separator/>
      </w:r>
    </w:p>
  </w:footnote>
  <w:footnote w:type="continuationSeparator" w:id="0">
    <w:p w:rsidR="004508B3" w:rsidRDefault="00450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79" w:rsidRDefault="00177C79">
    <w:pPr>
      <w:pStyle w:val="Topptekst"/>
      <w:ind w:right="142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Side</w:t>
    </w:r>
    <w:r>
      <w:rPr>
        <w:rFonts w:ascii="Arial" w:hAnsi="Arial" w:cs="Arial"/>
        <w:snapToGrid w:val="0"/>
        <w:sz w:val="20"/>
        <w:lang w:eastAsia="nb-NO"/>
      </w:rPr>
      <w:t xml:space="preserve"> </w:t>
    </w:r>
    <w:r>
      <w:rPr>
        <w:rFonts w:ascii="Arial" w:hAnsi="Arial" w:cs="Arial"/>
        <w:snapToGrid w:val="0"/>
        <w:sz w:val="20"/>
        <w:lang w:eastAsia="nb-NO"/>
      </w:rPr>
      <w:fldChar w:fldCharType="begin"/>
    </w:r>
    <w:r>
      <w:rPr>
        <w:rFonts w:ascii="Arial" w:hAnsi="Arial" w:cs="Arial"/>
        <w:snapToGrid w:val="0"/>
        <w:sz w:val="20"/>
        <w:lang w:eastAsia="nb-NO"/>
      </w:rPr>
      <w:instrText xml:space="preserve"> PAGE </w:instrText>
    </w:r>
    <w:r>
      <w:rPr>
        <w:rFonts w:ascii="Arial" w:hAnsi="Arial" w:cs="Arial"/>
        <w:snapToGrid w:val="0"/>
        <w:sz w:val="20"/>
        <w:lang w:eastAsia="nb-NO"/>
      </w:rPr>
      <w:fldChar w:fldCharType="separate"/>
    </w:r>
    <w:r w:rsidR="00A9279B">
      <w:rPr>
        <w:rFonts w:ascii="Arial" w:hAnsi="Arial" w:cs="Arial"/>
        <w:noProof/>
        <w:snapToGrid w:val="0"/>
        <w:sz w:val="20"/>
        <w:lang w:eastAsia="nb-NO"/>
      </w:rPr>
      <w:t>3</w:t>
    </w:r>
    <w:r>
      <w:rPr>
        <w:rFonts w:ascii="Arial" w:hAnsi="Arial" w:cs="Arial"/>
        <w:snapToGrid w:val="0"/>
        <w:sz w:val="20"/>
        <w:lang w:eastAsia="nb-NO"/>
      </w:rPr>
      <w:fldChar w:fldCharType="end"/>
    </w:r>
  </w:p>
  <w:p w:rsidR="00177C79" w:rsidRDefault="00177C7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79" w:rsidRDefault="00177C79">
    <w:pPr>
      <w:pStyle w:val="Topptekst"/>
      <w:rPr>
        <w:rFonts w:ascii="Arial" w:hAnsi="Arial" w:cs="Arial"/>
        <w:sz w:val="20"/>
      </w:rPr>
    </w:pPr>
    <w:r>
      <w:rPr>
        <w:rFonts w:ascii="Arial" w:hAnsi="Arial" w:cs="Arial"/>
        <w:b/>
        <w:noProof/>
        <w:szCs w:val="28"/>
        <w:lang w:eastAsia="nb-NO"/>
      </w:rPr>
      <w:drawing>
        <wp:anchor distT="0" distB="0" distL="114300" distR="114300" simplePos="0" relativeHeight="251663360" behindDoc="0" locked="0" layoutInCell="1" allowOverlap="1" wp14:anchorId="5637F1E1" wp14:editId="3B473A4D">
          <wp:simplePos x="0" y="0"/>
          <wp:positionH relativeFrom="column">
            <wp:posOffset>-238760</wp:posOffset>
          </wp:positionH>
          <wp:positionV relativeFrom="paragraph">
            <wp:posOffset>-212090</wp:posOffset>
          </wp:positionV>
          <wp:extent cx="2687320" cy="377825"/>
          <wp:effectExtent l="0" t="0" r="0" b="317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eastAsia="nb-NO"/>
      </w:rPr>
      <w:drawing>
        <wp:anchor distT="0" distB="0" distL="114300" distR="114300" simplePos="0" relativeHeight="251660288" behindDoc="0" locked="0" layoutInCell="1" allowOverlap="1" wp14:anchorId="36947596" wp14:editId="786FDE9F">
          <wp:simplePos x="0" y="0"/>
          <wp:positionH relativeFrom="page">
            <wp:posOffset>3861435</wp:posOffset>
          </wp:positionH>
          <wp:positionV relativeFrom="page">
            <wp:posOffset>492125</wp:posOffset>
          </wp:positionV>
          <wp:extent cx="3048000" cy="371475"/>
          <wp:effectExtent l="19050" t="0" r="0" b="0"/>
          <wp:wrapNone/>
          <wp:docPr id="7" name="Bilde 7" descr="SSO_no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SO_nota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Look w:val="0000" w:firstRow="0" w:lastRow="0" w:firstColumn="0" w:lastColumn="0" w:noHBand="0" w:noVBand="0"/>
    </w:tblPr>
    <w:tblGrid>
      <w:gridCol w:w="4927"/>
      <w:gridCol w:w="4927"/>
    </w:tblGrid>
    <w:tr w:rsidR="00177C79">
      <w:tc>
        <w:tcPr>
          <w:tcW w:w="4927" w:type="dxa"/>
        </w:tcPr>
        <w:p w:rsidR="00177C79" w:rsidRDefault="00177C79">
          <w:pPr>
            <w:pStyle w:val="Dokumentinfo-overskrift"/>
            <w:spacing w:line="240" w:lineRule="auto"/>
            <w:ind w:left="294"/>
            <w:rPr>
              <w:rFonts w:cs="Arial"/>
              <w:b/>
              <w:bCs/>
              <w:sz w:val="16"/>
            </w:rPr>
          </w:pPr>
        </w:p>
      </w:tc>
      <w:tc>
        <w:tcPr>
          <w:tcW w:w="4927" w:type="dxa"/>
        </w:tcPr>
        <w:p w:rsidR="00177C79" w:rsidRDefault="00177C79">
          <w:pPr>
            <w:pStyle w:val="Dokumentinfo-overskrift"/>
            <w:spacing w:line="240" w:lineRule="auto"/>
            <w:rPr>
              <w:rFonts w:cs="Arial"/>
              <w:b/>
              <w:bCs/>
              <w:sz w:val="16"/>
            </w:rPr>
          </w:pPr>
        </w:p>
      </w:tc>
    </w:tr>
  </w:tbl>
  <w:p w:rsidR="00177C79" w:rsidRDefault="00177C79">
    <w:pPr>
      <w:pStyle w:val="Top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E6F"/>
    <w:multiLevelType w:val="hybridMultilevel"/>
    <w:tmpl w:val="D46EFB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1802"/>
    <w:multiLevelType w:val="multilevel"/>
    <w:tmpl w:val="7FE02A3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AA22635"/>
    <w:multiLevelType w:val="hybridMultilevel"/>
    <w:tmpl w:val="6B48089E"/>
    <w:lvl w:ilvl="0" w:tplc="D6143D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A6324"/>
    <w:multiLevelType w:val="hybridMultilevel"/>
    <w:tmpl w:val="44C6F4A4"/>
    <w:lvl w:ilvl="0" w:tplc="D1041EAC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30798"/>
    <w:multiLevelType w:val="multilevel"/>
    <w:tmpl w:val="C1A8027C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5">
    <w:nsid w:val="249D5F0E"/>
    <w:multiLevelType w:val="multilevel"/>
    <w:tmpl w:val="22905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621F3E"/>
    <w:multiLevelType w:val="hybridMultilevel"/>
    <w:tmpl w:val="2F4036EE"/>
    <w:lvl w:ilvl="0" w:tplc="8DF6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D01F5"/>
    <w:multiLevelType w:val="hybridMultilevel"/>
    <w:tmpl w:val="FA4AA0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14BA9"/>
    <w:multiLevelType w:val="multilevel"/>
    <w:tmpl w:val="C1A8027C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9">
    <w:nsid w:val="32854E3B"/>
    <w:multiLevelType w:val="multilevel"/>
    <w:tmpl w:val="7FE02A3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3A3B3AAA"/>
    <w:multiLevelType w:val="hybridMultilevel"/>
    <w:tmpl w:val="97E4A654"/>
    <w:lvl w:ilvl="0" w:tplc="603080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97624"/>
    <w:multiLevelType w:val="hybridMultilevel"/>
    <w:tmpl w:val="343EBE9E"/>
    <w:lvl w:ilvl="0" w:tplc="FB8E2532">
      <w:start w:val="3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854CF"/>
    <w:multiLevelType w:val="multilevel"/>
    <w:tmpl w:val="3E26876E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847" w:hanging="705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i w:val="0"/>
      </w:rPr>
    </w:lvl>
  </w:abstractNum>
  <w:abstractNum w:abstractNumId="13">
    <w:nsid w:val="3EE51C4E"/>
    <w:multiLevelType w:val="hybridMultilevel"/>
    <w:tmpl w:val="EE2831CE"/>
    <w:lvl w:ilvl="0" w:tplc="D1041EAC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534D8"/>
    <w:multiLevelType w:val="hybridMultilevel"/>
    <w:tmpl w:val="F14C7BF4"/>
    <w:lvl w:ilvl="0" w:tplc="603080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D59DD"/>
    <w:multiLevelType w:val="hybridMultilevel"/>
    <w:tmpl w:val="5A24A072"/>
    <w:lvl w:ilvl="0" w:tplc="46FA4624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705E1"/>
    <w:multiLevelType w:val="hybridMultilevel"/>
    <w:tmpl w:val="C46620BC"/>
    <w:lvl w:ilvl="0" w:tplc="282C78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0964E9"/>
    <w:multiLevelType w:val="hybridMultilevel"/>
    <w:tmpl w:val="FC387E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627F0"/>
    <w:multiLevelType w:val="multilevel"/>
    <w:tmpl w:val="3E26876E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847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i w:val="0"/>
      </w:rPr>
    </w:lvl>
  </w:abstractNum>
  <w:abstractNum w:abstractNumId="19">
    <w:nsid w:val="614F5605"/>
    <w:multiLevelType w:val="hybridMultilevel"/>
    <w:tmpl w:val="679C4C2E"/>
    <w:lvl w:ilvl="0" w:tplc="2500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A22A2"/>
    <w:multiLevelType w:val="multilevel"/>
    <w:tmpl w:val="7FE02A3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622D172A"/>
    <w:multiLevelType w:val="hybridMultilevel"/>
    <w:tmpl w:val="98987814"/>
    <w:lvl w:ilvl="0" w:tplc="603080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476EE"/>
    <w:multiLevelType w:val="hybridMultilevel"/>
    <w:tmpl w:val="D7A2F718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3493E57"/>
    <w:multiLevelType w:val="hybridMultilevel"/>
    <w:tmpl w:val="C1E63184"/>
    <w:lvl w:ilvl="0" w:tplc="603080C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12FD6"/>
    <w:multiLevelType w:val="hybridMultilevel"/>
    <w:tmpl w:val="6AB87822"/>
    <w:lvl w:ilvl="0" w:tplc="5B3A23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2915A3"/>
    <w:multiLevelType w:val="multilevel"/>
    <w:tmpl w:val="7FE02A3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6CAE1756"/>
    <w:multiLevelType w:val="hybridMultilevel"/>
    <w:tmpl w:val="F894E4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60899"/>
    <w:multiLevelType w:val="hybridMultilevel"/>
    <w:tmpl w:val="41D03494"/>
    <w:lvl w:ilvl="0" w:tplc="2500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E77D3"/>
    <w:multiLevelType w:val="hybridMultilevel"/>
    <w:tmpl w:val="6D061C5C"/>
    <w:lvl w:ilvl="0" w:tplc="041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3B0ED7"/>
    <w:multiLevelType w:val="hybridMultilevel"/>
    <w:tmpl w:val="0FA0F3FE"/>
    <w:lvl w:ilvl="0" w:tplc="B7F60FC8">
      <w:start w:val="3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F5B90"/>
    <w:multiLevelType w:val="hybridMultilevel"/>
    <w:tmpl w:val="CDA6EB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8"/>
  </w:num>
  <w:num w:numId="5">
    <w:abstractNumId w:val="1"/>
  </w:num>
  <w:num w:numId="6">
    <w:abstractNumId w:val="20"/>
  </w:num>
  <w:num w:numId="7">
    <w:abstractNumId w:val="25"/>
  </w:num>
  <w:num w:numId="8">
    <w:abstractNumId w:val="15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9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27"/>
  </w:num>
  <w:num w:numId="19">
    <w:abstractNumId w:val="19"/>
  </w:num>
  <w:num w:numId="20">
    <w:abstractNumId w:val="21"/>
  </w:num>
  <w:num w:numId="21">
    <w:abstractNumId w:val="10"/>
  </w:num>
  <w:num w:numId="22">
    <w:abstractNumId w:val="6"/>
  </w:num>
  <w:num w:numId="23">
    <w:abstractNumId w:val="16"/>
  </w:num>
  <w:num w:numId="24">
    <w:abstractNumId w:val="30"/>
  </w:num>
  <w:num w:numId="25">
    <w:abstractNumId w:val="26"/>
  </w:num>
  <w:num w:numId="26">
    <w:abstractNumId w:val="0"/>
  </w:num>
  <w:num w:numId="27">
    <w:abstractNumId w:val="22"/>
  </w:num>
  <w:num w:numId="28">
    <w:abstractNumId w:val="24"/>
  </w:num>
  <w:num w:numId="29">
    <w:abstractNumId w:val="7"/>
  </w:num>
  <w:num w:numId="30">
    <w:abstractNumId w:val="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A6"/>
    <w:rsid w:val="00000107"/>
    <w:rsid w:val="000049C8"/>
    <w:rsid w:val="00014417"/>
    <w:rsid w:val="000227DB"/>
    <w:rsid w:val="00027FD9"/>
    <w:rsid w:val="00034401"/>
    <w:rsid w:val="00034E0B"/>
    <w:rsid w:val="0004142E"/>
    <w:rsid w:val="00042565"/>
    <w:rsid w:val="0005187D"/>
    <w:rsid w:val="000709B6"/>
    <w:rsid w:val="00075A2F"/>
    <w:rsid w:val="00081E9C"/>
    <w:rsid w:val="00083730"/>
    <w:rsid w:val="00087426"/>
    <w:rsid w:val="00087BAD"/>
    <w:rsid w:val="0009523B"/>
    <w:rsid w:val="000A0DFB"/>
    <w:rsid w:val="000C0053"/>
    <w:rsid w:val="000C2A26"/>
    <w:rsid w:val="000D43AD"/>
    <w:rsid w:val="000D5562"/>
    <w:rsid w:val="000E2D0A"/>
    <w:rsid w:val="000E521E"/>
    <w:rsid w:val="000E5AFA"/>
    <w:rsid w:val="000F1AC7"/>
    <w:rsid w:val="00101B94"/>
    <w:rsid w:val="001139CC"/>
    <w:rsid w:val="00113FAD"/>
    <w:rsid w:val="00116723"/>
    <w:rsid w:val="00133979"/>
    <w:rsid w:val="0014747E"/>
    <w:rsid w:val="00150795"/>
    <w:rsid w:val="001519AE"/>
    <w:rsid w:val="00156F8E"/>
    <w:rsid w:val="0017201D"/>
    <w:rsid w:val="001741E4"/>
    <w:rsid w:val="00177C79"/>
    <w:rsid w:val="0019146C"/>
    <w:rsid w:val="0019357F"/>
    <w:rsid w:val="00193D59"/>
    <w:rsid w:val="001A3F23"/>
    <w:rsid w:val="001A5455"/>
    <w:rsid w:val="001A550C"/>
    <w:rsid w:val="001A58B1"/>
    <w:rsid w:val="001A5CC4"/>
    <w:rsid w:val="001B1A37"/>
    <w:rsid w:val="001B40B7"/>
    <w:rsid w:val="001C5804"/>
    <w:rsid w:val="001D1249"/>
    <w:rsid w:val="001D1E13"/>
    <w:rsid w:val="001E2AD4"/>
    <w:rsid w:val="001E31ED"/>
    <w:rsid w:val="001F1D46"/>
    <w:rsid w:val="00207BCE"/>
    <w:rsid w:val="00213DF0"/>
    <w:rsid w:val="00221766"/>
    <w:rsid w:val="00222FAC"/>
    <w:rsid w:val="00225BFA"/>
    <w:rsid w:val="00226F8A"/>
    <w:rsid w:val="002471EE"/>
    <w:rsid w:val="00247862"/>
    <w:rsid w:val="00253611"/>
    <w:rsid w:val="00263E98"/>
    <w:rsid w:val="00264EE9"/>
    <w:rsid w:val="00267347"/>
    <w:rsid w:val="00276012"/>
    <w:rsid w:val="00281AD7"/>
    <w:rsid w:val="00282DA1"/>
    <w:rsid w:val="0029222A"/>
    <w:rsid w:val="00296AAB"/>
    <w:rsid w:val="0029763F"/>
    <w:rsid w:val="002C615F"/>
    <w:rsid w:val="002D24BC"/>
    <w:rsid w:val="002D3C40"/>
    <w:rsid w:val="002F7698"/>
    <w:rsid w:val="00303D81"/>
    <w:rsid w:val="003057D4"/>
    <w:rsid w:val="00330C31"/>
    <w:rsid w:val="00331404"/>
    <w:rsid w:val="00334A69"/>
    <w:rsid w:val="00336847"/>
    <w:rsid w:val="00350E24"/>
    <w:rsid w:val="0035373B"/>
    <w:rsid w:val="00362BFE"/>
    <w:rsid w:val="003678D3"/>
    <w:rsid w:val="00372F7C"/>
    <w:rsid w:val="003870EC"/>
    <w:rsid w:val="00394C2D"/>
    <w:rsid w:val="003B118E"/>
    <w:rsid w:val="003C52FD"/>
    <w:rsid w:val="003C66CC"/>
    <w:rsid w:val="003D48FB"/>
    <w:rsid w:val="003D5BD7"/>
    <w:rsid w:val="003F357F"/>
    <w:rsid w:val="003F6C25"/>
    <w:rsid w:val="00405CF6"/>
    <w:rsid w:val="0043088C"/>
    <w:rsid w:val="00436F37"/>
    <w:rsid w:val="00441E22"/>
    <w:rsid w:val="00442F11"/>
    <w:rsid w:val="00444496"/>
    <w:rsid w:val="00446A2C"/>
    <w:rsid w:val="004508B3"/>
    <w:rsid w:val="00453381"/>
    <w:rsid w:val="00455FA2"/>
    <w:rsid w:val="004658EA"/>
    <w:rsid w:val="004748B6"/>
    <w:rsid w:val="00477B33"/>
    <w:rsid w:val="00487D20"/>
    <w:rsid w:val="004A1312"/>
    <w:rsid w:val="004A1FCB"/>
    <w:rsid w:val="004A6445"/>
    <w:rsid w:val="004B2360"/>
    <w:rsid w:val="004B6341"/>
    <w:rsid w:val="004C101F"/>
    <w:rsid w:val="004C4F82"/>
    <w:rsid w:val="004C5D02"/>
    <w:rsid w:val="004D0408"/>
    <w:rsid w:val="004D0624"/>
    <w:rsid w:val="004D4CB8"/>
    <w:rsid w:val="004D7490"/>
    <w:rsid w:val="004E505C"/>
    <w:rsid w:val="004F6FAE"/>
    <w:rsid w:val="0050059C"/>
    <w:rsid w:val="00501201"/>
    <w:rsid w:val="0050652E"/>
    <w:rsid w:val="00507578"/>
    <w:rsid w:val="005168CC"/>
    <w:rsid w:val="00520163"/>
    <w:rsid w:val="00521610"/>
    <w:rsid w:val="005250EC"/>
    <w:rsid w:val="00531371"/>
    <w:rsid w:val="00531402"/>
    <w:rsid w:val="00536221"/>
    <w:rsid w:val="00555A29"/>
    <w:rsid w:val="005608CC"/>
    <w:rsid w:val="00564E12"/>
    <w:rsid w:val="00565A6D"/>
    <w:rsid w:val="00567654"/>
    <w:rsid w:val="00567F8C"/>
    <w:rsid w:val="005763EA"/>
    <w:rsid w:val="00576CA4"/>
    <w:rsid w:val="00577DB5"/>
    <w:rsid w:val="005801A7"/>
    <w:rsid w:val="00581712"/>
    <w:rsid w:val="00582EF9"/>
    <w:rsid w:val="0059578C"/>
    <w:rsid w:val="005B1324"/>
    <w:rsid w:val="005C0A86"/>
    <w:rsid w:val="005C4285"/>
    <w:rsid w:val="005C74E3"/>
    <w:rsid w:val="005D13FA"/>
    <w:rsid w:val="005D16E4"/>
    <w:rsid w:val="005D4C44"/>
    <w:rsid w:val="005F12A1"/>
    <w:rsid w:val="005F1B08"/>
    <w:rsid w:val="00613BA6"/>
    <w:rsid w:val="00616E56"/>
    <w:rsid w:val="006361B7"/>
    <w:rsid w:val="00640A0C"/>
    <w:rsid w:val="0064121A"/>
    <w:rsid w:val="006422A9"/>
    <w:rsid w:val="006429E3"/>
    <w:rsid w:val="006447DA"/>
    <w:rsid w:val="00650949"/>
    <w:rsid w:val="0067064A"/>
    <w:rsid w:val="00684651"/>
    <w:rsid w:val="00690F96"/>
    <w:rsid w:val="00695611"/>
    <w:rsid w:val="006A07C9"/>
    <w:rsid w:val="006A2A10"/>
    <w:rsid w:val="006B6848"/>
    <w:rsid w:val="006C619A"/>
    <w:rsid w:val="006D4588"/>
    <w:rsid w:val="006E76C3"/>
    <w:rsid w:val="006F3C67"/>
    <w:rsid w:val="006F5C0E"/>
    <w:rsid w:val="007007C5"/>
    <w:rsid w:val="0070307D"/>
    <w:rsid w:val="00717058"/>
    <w:rsid w:val="0071795B"/>
    <w:rsid w:val="00717E03"/>
    <w:rsid w:val="00721929"/>
    <w:rsid w:val="00721A0B"/>
    <w:rsid w:val="00723CB8"/>
    <w:rsid w:val="007248FF"/>
    <w:rsid w:val="00753A40"/>
    <w:rsid w:val="0076457C"/>
    <w:rsid w:val="00765141"/>
    <w:rsid w:val="0077280E"/>
    <w:rsid w:val="007813CE"/>
    <w:rsid w:val="00797AEC"/>
    <w:rsid w:val="007A33A0"/>
    <w:rsid w:val="007A6967"/>
    <w:rsid w:val="007A76A2"/>
    <w:rsid w:val="007B381E"/>
    <w:rsid w:val="007C28DC"/>
    <w:rsid w:val="007C4333"/>
    <w:rsid w:val="007E0098"/>
    <w:rsid w:val="007E477A"/>
    <w:rsid w:val="007F169C"/>
    <w:rsid w:val="007F7118"/>
    <w:rsid w:val="00801443"/>
    <w:rsid w:val="0082393A"/>
    <w:rsid w:val="008260E8"/>
    <w:rsid w:val="008330BD"/>
    <w:rsid w:val="00836DFA"/>
    <w:rsid w:val="00850C06"/>
    <w:rsid w:val="0085209C"/>
    <w:rsid w:val="00874737"/>
    <w:rsid w:val="008849EF"/>
    <w:rsid w:val="0089498A"/>
    <w:rsid w:val="008A16D2"/>
    <w:rsid w:val="008B115C"/>
    <w:rsid w:val="008B46EB"/>
    <w:rsid w:val="008C5B3D"/>
    <w:rsid w:val="008D046B"/>
    <w:rsid w:val="008D35D0"/>
    <w:rsid w:val="008D3FED"/>
    <w:rsid w:val="008E5086"/>
    <w:rsid w:val="008F15C0"/>
    <w:rsid w:val="008F3020"/>
    <w:rsid w:val="008F351C"/>
    <w:rsid w:val="008F5929"/>
    <w:rsid w:val="009010F4"/>
    <w:rsid w:val="0092133D"/>
    <w:rsid w:val="00934249"/>
    <w:rsid w:val="00944F82"/>
    <w:rsid w:val="00946869"/>
    <w:rsid w:val="00946F72"/>
    <w:rsid w:val="00953604"/>
    <w:rsid w:val="00954BC8"/>
    <w:rsid w:val="009727B5"/>
    <w:rsid w:val="00974BF4"/>
    <w:rsid w:val="0097581B"/>
    <w:rsid w:val="00980A73"/>
    <w:rsid w:val="00993BD0"/>
    <w:rsid w:val="00994507"/>
    <w:rsid w:val="00994A91"/>
    <w:rsid w:val="009C3F64"/>
    <w:rsid w:val="009C680F"/>
    <w:rsid w:val="009E4EE7"/>
    <w:rsid w:val="009F1122"/>
    <w:rsid w:val="009F303F"/>
    <w:rsid w:val="009F68D2"/>
    <w:rsid w:val="00A0006B"/>
    <w:rsid w:val="00A0014D"/>
    <w:rsid w:val="00A03265"/>
    <w:rsid w:val="00A04516"/>
    <w:rsid w:val="00A0754E"/>
    <w:rsid w:val="00A07BC5"/>
    <w:rsid w:val="00A100B4"/>
    <w:rsid w:val="00A164BB"/>
    <w:rsid w:val="00A210F2"/>
    <w:rsid w:val="00A2591E"/>
    <w:rsid w:val="00A401B8"/>
    <w:rsid w:val="00A54109"/>
    <w:rsid w:val="00A769B2"/>
    <w:rsid w:val="00A86544"/>
    <w:rsid w:val="00A9279B"/>
    <w:rsid w:val="00AA5BF4"/>
    <w:rsid w:val="00AA7592"/>
    <w:rsid w:val="00AD049E"/>
    <w:rsid w:val="00AD7C81"/>
    <w:rsid w:val="00AE2AC6"/>
    <w:rsid w:val="00AE4020"/>
    <w:rsid w:val="00AF04A1"/>
    <w:rsid w:val="00AF213B"/>
    <w:rsid w:val="00AF4057"/>
    <w:rsid w:val="00B044AD"/>
    <w:rsid w:val="00B05858"/>
    <w:rsid w:val="00B3125C"/>
    <w:rsid w:val="00B320FE"/>
    <w:rsid w:val="00B341E5"/>
    <w:rsid w:val="00B36678"/>
    <w:rsid w:val="00B4144A"/>
    <w:rsid w:val="00B42621"/>
    <w:rsid w:val="00B447A6"/>
    <w:rsid w:val="00B45C85"/>
    <w:rsid w:val="00B47830"/>
    <w:rsid w:val="00B50165"/>
    <w:rsid w:val="00B52106"/>
    <w:rsid w:val="00B63C6F"/>
    <w:rsid w:val="00B70C31"/>
    <w:rsid w:val="00B74EBC"/>
    <w:rsid w:val="00B75D5F"/>
    <w:rsid w:val="00B861A4"/>
    <w:rsid w:val="00B86D93"/>
    <w:rsid w:val="00B90E11"/>
    <w:rsid w:val="00B91975"/>
    <w:rsid w:val="00B93BA3"/>
    <w:rsid w:val="00BA1F3E"/>
    <w:rsid w:val="00BB3619"/>
    <w:rsid w:val="00BB4006"/>
    <w:rsid w:val="00BB7AAF"/>
    <w:rsid w:val="00BD035C"/>
    <w:rsid w:val="00BD4646"/>
    <w:rsid w:val="00BD50D5"/>
    <w:rsid w:val="00BD52DA"/>
    <w:rsid w:val="00BD7BD5"/>
    <w:rsid w:val="00BE0CC2"/>
    <w:rsid w:val="00BF5E98"/>
    <w:rsid w:val="00C23835"/>
    <w:rsid w:val="00C263FE"/>
    <w:rsid w:val="00C345E1"/>
    <w:rsid w:val="00C34635"/>
    <w:rsid w:val="00C4011B"/>
    <w:rsid w:val="00C42BC5"/>
    <w:rsid w:val="00C46460"/>
    <w:rsid w:val="00C50268"/>
    <w:rsid w:val="00C5501F"/>
    <w:rsid w:val="00C55BA7"/>
    <w:rsid w:val="00C5783F"/>
    <w:rsid w:val="00C57DE2"/>
    <w:rsid w:val="00C643E6"/>
    <w:rsid w:val="00C71B9D"/>
    <w:rsid w:val="00C72011"/>
    <w:rsid w:val="00C76569"/>
    <w:rsid w:val="00C80049"/>
    <w:rsid w:val="00C828F7"/>
    <w:rsid w:val="00C86CF4"/>
    <w:rsid w:val="00C918D5"/>
    <w:rsid w:val="00C92454"/>
    <w:rsid w:val="00C92A95"/>
    <w:rsid w:val="00CA03A5"/>
    <w:rsid w:val="00CA6448"/>
    <w:rsid w:val="00CB6D0F"/>
    <w:rsid w:val="00CC2AAF"/>
    <w:rsid w:val="00CD4000"/>
    <w:rsid w:val="00CD777A"/>
    <w:rsid w:val="00CE0700"/>
    <w:rsid w:val="00CE1E40"/>
    <w:rsid w:val="00CE3F3B"/>
    <w:rsid w:val="00CE5C1E"/>
    <w:rsid w:val="00D01451"/>
    <w:rsid w:val="00D13F6A"/>
    <w:rsid w:val="00D27C06"/>
    <w:rsid w:val="00D424B4"/>
    <w:rsid w:val="00D46312"/>
    <w:rsid w:val="00D4735C"/>
    <w:rsid w:val="00D52554"/>
    <w:rsid w:val="00D71AAE"/>
    <w:rsid w:val="00D73736"/>
    <w:rsid w:val="00D871D4"/>
    <w:rsid w:val="00D9386B"/>
    <w:rsid w:val="00DB1590"/>
    <w:rsid w:val="00DB23B5"/>
    <w:rsid w:val="00DB45FA"/>
    <w:rsid w:val="00DB4DB7"/>
    <w:rsid w:val="00DD234B"/>
    <w:rsid w:val="00DD452B"/>
    <w:rsid w:val="00DD53CE"/>
    <w:rsid w:val="00DE02B7"/>
    <w:rsid w:val="00DE69F3"/>
    <w:rsid w:val="00DF0EC4"/>
    <w:rsid w:val="00DF5613"/>
    <w:rsid w:val="00E0231C"/>
    <w:rsid w:val="00E07158"/>
    <w:rsid w:val="00E10C21"/>
    <w:rsid w:val="00E14392"/>
    <w:rsid w:val="00E16B3B"/>
    <w:rsid w:val="00E316AE"/>
    <w:rsid w:val="00E408BF"/>
    <w:rsid w:val="00E463F7"/>
    <w:rsid w:val="00E4712F"/>
    <w:rsid w:val="00E504E7"/>
    <w:rsid w:val="00E52B38"/>
    <w:rsid w:val="00E5544A"/>
    <w:rsid w:val="00E77A2E"/>
    <w:rsid w:val="00E826CE"/>
    <w:rsid w:val="00E915AF"/>
    <w:rsid w:val="00E96E2D"/>
    <w:rsid w:val="00E96F17"/>
    <w:rsid w:val="00EA4498"/>
    <w:rsid w:val="00EA4C28"/>
    <w:rsid w:val="00EA7216"/>
    <w:rsid w:val="00EC3350"/>
    <w:rsid w:val="00EC45DD"/>
    <w:rsid w:val="00ED23B4"/>
    <w:rsid w:val="00F11CF4"/>
    <w:rsid w:val="00F15798"/>
    <w:rsid w:val="00F17FF3"/>
    <w:rsid w:val="00F22B4C"/>
    <w:rsid w:val="00F24226"/>
    <w:rsid w:val="00F306E4"/>
    <w:rsid w:val="00F357A4"/>
    <w:rsid w:val="00F40749"/>
    <w:rsid w:val="00F4677A"/>
    <w:rsid w:val="00F46782"/>
    <w:rsid w:val="00F51CAB"/>
    <w:rsid w:val="00F520A6"/>
    <w:rsid w:val="00F63898"/>
    <w:rsid w:val="00F66F1F"/>
    <w:rsid w:val="00F85AE4"/>
    <w:rsid w:val="00F91E25"/>
    <w:rsid w:val="00F97E04"/>
    <w:rsid w:val="00FA12A8"/>
    <w:rsid w:val="00FB10A6"/>
    <w:rsid w:val="00FB19A2"/>
    <w:rsid w:val="00FB2153"/>
    <w:rsid w:val="00FB402A"/>
    <w:rsid w:val="00FB520C"/>
    <w:rsid w:val="00FC1508"/>
    <w:rsid w:val="00FC6A40"/>
    <w:rsid w:val="00FD1DF9"/>
    <w:rsid w:val="00FD33A0"/>
    <w:rsid w:val="00FF5700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5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4735C"/>
    <w:pPr>
      <w:tabs>
        <w:tab w:val="center" w:pos="4536"/>
        <w:tab w:val="right" w:pos="9072"/>
      </w:tabs>
    </w:pPr>
    <w:rPr>
      <w:rFonts w:ascii="ITC Officina Sans Book" w:hAnsi="ITC Officina Sans Book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D4735C"/>
    <w:rPr>
      <w:rFonts w:ascii="ITC Officina Sans Book" w:eastAsia="Times New Roman" w:hAnsi="ITC Officina Sans Book" w:cs="Times New Roman"/>
      <w:sz w:val="16"/>
      <w:szCs w:val="20"/>
    </w:rPr>
  </w:style>
  <w:style w:type="paragraph" w:styleId="Bunntekst">
    <w:name w:val="footer"/>
    <w:basedOn w:val="Normal"/>
    <w:link w:val="BunntekstTegn"/>
    <w:rsid w:val="00D4735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4735C"/>
    <w:rPr>
      <w:rFonts w:ascii="Times New Roman" w:eastAsia="Times New Roman" w:hAnsi="Times New Roman" w:cs="Times New Roman"/>
      <w:sz w:val="24"/>
      <w:szCs w:val="20"/>
    </w:rPr>
  </w:style>
  <w:style w:type="paragraph" w:styleId="Tittel">
    <w:name w:val="Title"/>
    <w:basedOn w:val="Normal"/>
    <w:next w:val="Brdtekst"/>
    <w:link w:val="TittelTegn"/>
    <w:qFormat/>
    <w:rsid w:val="00D4735C"/>
    <w:pPr>
      <w:spacing w:before="480" w:after="240"/>
      <w:ind w:left="2552"/>
      <w:outlineLvl w:val="0"/>
    </w:pPr>
    <w:rPr>
      <w:rFonts w:ascii="ITC Officina Sans Book" w:hAnsi="ITC Officina Sans Book"/>
      <w:b/>
      <w:kern w:val="28"/>
      <w:sz w:val="28"/>
    </w:rPr>
  </w:style>
  <w:style w:type="character" w:customStyle="1" w:styleId="TittelTegn">
    <w:name w:val="Tittel Tegn"/>
    <w:basedOn w:val="Standardskriftforavsnitt"/>
    <w:link w:val="Tittel"/>
    <w:rsid w:val="00D4735C"/>
    <w:rPr>
      <w:rFonts w:ascii="ITC Officina Sans Book" w:eastAsia="Times New Roman" w:hAnsi="ITC Officina Sans Book" w:cs="Times New Roman"/>
      <w:b/>
      <w:kern w:val="28"/>
      <w:sz w:val="28"/>
      <w:szCs w:val="20"/>
    </w:rPr>
  </w:style>
  <w:style w:type="paragraph" w:customStyle="1" w:styleId="Ledetekst">
    <w:name w:val="Ledetekst"/>
    <w:basedOn w:val="Brdtekst"/>
    <w:rsid w:val="00D4735C"/>
    <w:pPr>
      <w:keepNext/>
      <w:spacing w:after="0"/>
    </w:pPr>
    <w:rPr>
      <w:rFonts w:ascii="ITC Officina Sans Book" w:hAnsi="ITC Officina Sans Book"/>
      <w:sz w:val="16"/>
    </w:rPr>
  </w:style>
  <w:style w:type="paragraph" w:customStyle="1" w:styleId="Brdtekstuavstand">
    <w:name w:val="Brødtekst u. avstand"/>
    <w:basedOn w:val="Brdtekst"/>
    <w:rsid w:val="00D4735C"/>
    <w:pPr>
      <w:spacing w:after="0"/>
    </w:pPr>
    <w:rPr>
      <w:rFonts w:ascii="NewCenturySchlbk" w:hAnsi="NewCenturySchlbk"/>
      <w:sz w:val="22"/>
    </w:rPr>
  </w:style>
  <w:style w:type="paragraph" w:customStyle="1" w:styleId="Dokumentinfo-overskrift">
    <w:name w:val="Dokumentinfo - overskrift"/>
    <w:rsid w:val="00D4735C"/>
    <w:pPr>
      <w:spacing w:before="20" w:after="0" w:line="220" w:lineRule="exact"/>
    </w:pPr>
    <w:rPr>
      <w:rFonts w:ascii="Arial" w:eastAsia="Times New Roman" w:hAnsi="Arial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D4735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D4735C"/>
    <w:rPr>
      <w:rFonts w:ascii="Times New Roman" w:eastAsia="Times New Roman" w:hAnsi="Times New Roman" w:cs="Times New Roman"/>
      <w:sz w:val="2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73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35C"/>
    <w:rPr>
      <w:rFonts w:ascii="Tahoma" w:eastAsia="Times New Roman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52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1C5804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5804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07158"/>
    <w:rPr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F5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255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255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7A33A0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  <w:style w:type="paragraph" w:styleId="Ingenmellomrom">
    <w:name w:val="No Spacing"/>
    <w:uiPriority w:val="1"/>
    <w:qFormat/>
    <w:rsid w:val="007A33A0"/>
    <w:pPr>
      <w:spacing w:after="0" w:line="240" w:lineRule="auto"/>
    </w:pPr>
  </w:style>
  <w:style w:type="paragraph" w:styleId="Revisjon">
    <w:name w:val="Revision"/>
    <w:hidden/>
    <w:uiPriority w:val="99"/>
    <w:semiHidden/>
    <w:rsid w:val="000A0D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kobling">
    <w:name w:val="Hyperlink"/>
    <w:basedOn w:val="Standardskriftforavsnitt"/>
    <w:uiPriority w:val="99"/>
    <w:unhideWhenUsed/>
    <w:rsid w:val="00405C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5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4735C"/>
    <w:pPr>
      <w:tabs>
        <w:tab w:val="center" w:pos="4536"/>
        <w:tab w:val="right" w:pos="9072"/>
      </w:tabs>
    </w:pPr>
    <w:rPr>
      <w:rFonts w:ascii="ITC Officina Sans Book" w:hAnsi="ITC Officina Sans Book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D4735C"/>
    <w:rPr>
      <w:rFonts w:ascii="ITC Officina Sans Book" w:eastAsia="Times New Roman" w:hAnsi="ITC Officina Sans Book" w:cs="Times New Roman"/>
      <w:sz w:val="16"/>
      <w:szCs w:val="20"/>
    </w:rPr>
  </w:style>
  <w:style w:type="paragraph" w:styleId="Bunntekst">
    <w:name w:val="footer"/>
    <w:basedOn w:val="Normal"/>
    <w:link w:val="BunntekstTegn"/>
    <w:rsid w:val="00D4735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4735C"/>
    <w:rPr>
      <w:rFonts w:ascii="Times New Roman" w:eastAsia="Times New Roman" w:hAnsi="Times New Roman" w:cs="Times New Roman"/>
      <w:sz w:val="24"/>
      <w:szCs w:val="20"/>
    </w:rPr>
  </w:style>
  <w:style w:type="paragraph" w:styleId="Tittel">
    <w:name w:val="Title"/>
    <w:basedOn w:val="Normal"/>
    <w:next w:val="Brdtekst"/>
    <w:link w:val="TittelTegn"/>
    <w:qFormat/>
    <w:rsid w:val="00D4735C"/>
    <w:pPr>
      <w:spacing w:before="480" w:after="240"/>
      <w:ind w:left="2552"/>
      <w:outlineLvl w:val="0"/>
    </w:pPr>
    <w:rPr>
      <w:rFonts w:ascii="ITC Officina Sans Book" w:hAnsi="ITC Officina Sans Book"/>
      <w:b/>
      <w:kern w:val="28"/>
      <w:sz w:val="28"/>
    </w:rPr>
  </w:style>
  <w:style w:type="character" w:customStyle="1" w:styleId="TittelTegn">
    <w:name w:val="Tittel Tegn"/>
    <w:basedOn w:val="Standardskriftforavsnitt"/>
    <w:link w:val="Tittel"/>
    <w:rsid w:val="00D4735C"/>
    <w:rPr>
      <w:rFonts w:ascii="ITC Officina Sans Book" w:eastAsia="Times New Roman" w:hAnsi="ITC Officina Sans Book" w:cs="Times New Roman"/>
      <w:b/>
      <w:kern w:val="28"/>
      <w:sz w:val="28"/>
      <w:szCs w:val="20"/>
    </w:rPr>
  </w:style>
  <w:style w:type="paragraph" w:customStyle="1" w:styleId="Ledetekst">
    <w:name w:val="Ledetekst"/>
    <w:basedOn w:val="Brdtekst"/>
    <w:rsid w:val="00D4735C"/>
    <w:pPr>
      <w:keepNext/>
      <w:spacing w:after="0"/>
    </w:pPr>
    <w:rPr>
      <w:rFonts w:ascii="ITC Officina Sans Book" w:hAnsi="ITC Officina Sans Book"/>
      <w:sz w:val="16"/>
    </w:rPr>
  </w:style>
  <w:style w:type="paragraph" w:customStyle="1" w:styleId="Brdtekstuavstand">
    <w:name w:val="Brødtekst u. avstand"/>
    <w:basedOn w:val="Brdtekst"/>
    <w:rsid w:val="00D4735C"/>
    <w:pPr>
      <w:spacing w:after="0"/>
    </w:pPr>
    <w:rPr>
      <w:rFonts w:ascii="NewCenturySchlbk" w:hAnsi="NewCenturySchlbk"/>
      <w:sz w:val="22"/>
    </w:rPr>
  </w:style>
  <w:style w:type="paragraph" w:customStyle="1" w:styleId="Dokumentinfo-overskrift">
    <w:name w:val="Dokumentinfo - overskrift"/>
    <w:rsid w:val="00D4735C"/>
    <w:pPr>
      <w:spacing w:before="20" w:after="0" w:line="220" w:lineRule="exact"/>
    </w:pPr>
    <w:rPr>
      <w:rFonts w:ascii="Arial" w:eastAsia="Times New Roman" w:hAnsi="Arial"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D4735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D4735C"/>
    <w:rPr>
      <w:rFonts w:ascii="Times New Roman" w:eastAsia="Times New Roman" w:hAnsi="Times New Roman" w:cs="Times New Roman"/>
      <w:sz w:val="2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735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35C"/>
    <w:rPr>
      <w:rFonts w:ascii="Tahoma" w:eastAsia="Times New Roman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52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Merknadstekst">
    <w:name w:val="annotation text"/>
    <w:basedOn w:val="Normal"/>
    <w:link w:val="MerknadstekstTegn"/>
    <w:uiPriority w:val="99"/>
    <w:unhideWhenUsed/>
    <w:rsid w:val="001C5804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5804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07158"/>
    <w:rPr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F5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255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255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7A33A0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  <w:style w:type="paragraph" w:styleId="Ingenmellomrom">
    <w:name w:val="No Spacing"/>
    <w:uiPriority w:val="1"/>
    <w:qFormat/>
    <w:rsid w:val="007A33A0"/>
    <w:pPr>
      <w:spacing w:after="0" w:line="240" w:lineRule="auto"/>
    </w:pPr>
  </w:style>
  <w:style w:type="paragraph" w:styleId="Revisjon">
    <w:name w:val="Revision"/>
    <w:hidden/>
    <w:uiPriority w:val="99"/>
    <w:semiHidden/>
    <w:rsid w:val="000A0D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kobling">
    <w:name w:val="Hyperlink"/>
    <w:basedOn w:val="Standardskriftforavsnitt"/>
    <w:uiPriority w:val="99"/>
    <w:unhideWhenUsed/>
    <w:rsid w:val="00405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0C03-3A10-42A8-B76E-9FCA063F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6795</Characters>
  <Application>Microsoft Office Word</Application>
  <DocSecurity>4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økonomistyring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Myhren</dc:creator>
  <cp:lastModifiedBy>Anders Myhren</cp:lastModifiedBy>
  <cp:revision>2</cp:revision>
  <cp:lastPrinted>2015-11-12T08:44:00Z</cp:lastPrinted>
  <dcterms:created xsi:type="dcterms:W3CDTF">2016-01-27T05:48:00Z</dcterms:created>
  <dcterms:modified xsi:type="dcterms:W3CDTF">2016-01-27T05:48:00Z</dcterms:modified>
</cp:coreProperties>
</file>